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A6" w:rsidRPr="00BE0D96" w:rsidRDefault="00817E7E" w:rsidP="002C25A6">
      <w:pPr>
        <w:pStyle w:val="Title"/>
        <w:rPr>
          <w:lang w:val="fr-CH"/>
        </w:rPr>
      </w:pPr>
      <w:bookmarkStart w:id="0" w:name="_GoBack"/>
      <w:bookmarkEnd w:id="0"/>
      <w:r w:rsidRPr="00817E7E">
        <w:t xml:space="preserve"> </w:t>
      </w:r>
      <w:r w:rsidR="002C25A6" w:rsidRPr="00BE0D96">
        <w:rPr>
          <w:lang w:val="fr-CH"/>
        </w:rPr>
        <w:t>RECTIFICATION ET MODIFICATION DES LISTes</w:t>
      </w:r>
    </w:p>
    <w:p w:rsidR="002C25A6" w:rsidRPr="00BE0D96" w:rsidRDefault="002C25A6" w:rsidP="002C25A6">
      <w:pPr>
        <w:pStyle w:val="Title2"/>
        <w:rPr>
          <w:i/>
          <w:lang w:val="fr-CH"/>
        </w:rPr>
      </w:pPr>
      <w:r w:rsidRPr="00BE0D96">
        <w:rPr>
          <w:i/>
          <w:lang w:val="fr-CH"/>
        </w:rPr>
        <w:t>Liste LIX Suisse-Liechtenstein</w:t>
      </w:r>
    </w:p>
    <w:p w:rsidR="002C25A6" w:rsidRPr="00BE0D96" w:rsidRDefault="002C25A6" w:rsidP="002C25A6">
      <w:pPr>
        <w:rPr>
          <w:lang w:val="fr-CH"/>
        </w:rPr>
      </w:pPr>
      <w:r w:rsidRPr="00BE0D96">
        <w:rPr>
          <w:lang w:val="fr-CH"/>
        </w:rPr>
        <w:t xml:space="preserve">La communication ci-après, datée du </w:t>
      </w:r>
      <w:r w:rsidRPr="002C25A6">
        <w:rPr>
          <w:lang w:val="fr-CH"/>
        </w:rPr>
        <w:t>25 avril 2018</w:t>
      </w:r>
      <w:r w:rsidRPr="00BE0D96">
        <w:rPr>
          <w:lang w:val="fr-CH"/>
        </w:rPr>
        <w:t>, est distribuée à la demande de la délégation de la Suisse.</w:t>
      </w:r>
    </w:p>
    <w:p w:rsidR="002C25A6" w:rsidRPr="00BE0D96" w:rsidRDefault="002C25A6" w:rsidP="002C25A6">
      <w:pPr>
        <w:rPr>
          <w:lang w:val="fr-CH"/>
        </w:rPr>
      </w:pPr>
    </w:p>
    <w:p w:rsidR="002C25A6" w:rsidRPr="00BE0D96" w:rsidRDefault="002C25A6" w:rsidP="002C25A6">
      <w:pPr>
        <w:spacing w:after="120"/>
        <w:jc w:val="center"/>
        <w:rPr>
          <w:b/>
          <w:lang w:val="fr-CH"/>
        </w:rPr>
      </w:pPr>
      <w:r w:rsidRPr="00BE0D96">
        <w:rPr>
          <w:b/>
          <w:lang w:val="fr-CH"/>
        </w:rPr>
        <w:t>_______________</w:t>
      </w:r>
    </w:p>
    <w:p w:rsidR="002C25A6" w:rsidRPr="00BE0D96" w:rsidRDefault="002C25A6" w:rsidP="002C25A6">
      <w:pPr>
        <w:rPr>
          <w:lang w:val="fr-CH"/>
        </w:rPr>
      </w:pPr>
    </w:p>
    <w:p w:rsidR="002C25A6" w:rsidRPr="00BE0D96" w:rsidRDefault="002C25A6" w:rsidP="002C25A6">
      <w:pPr>
        <w:rPr>
          <w:lang w:val="fr-CH"/>
        </w:rPr>
      </w:pPr>
      <w:r w:rsidRPr="00BE0D96">
        <w:rPr>
          <w:lang w:val="fr-CH"/>
        </w:rPr>
        <w:t>Conformément à la décision du 26 mars 1980 (IBDD, S27/26), les gouvernements de la Suisse et du Liechtenstein ont l’honneur de soumettre ci-après le projet</w:t>
      </w:r>
      <w:r w:rsidRPr="00BE0D96">
        <w:rPr>
          <w:rStyle w:val="FootnoteReference"/>
          <w:lang w:val="fr-CH"/>
        </w:rPr>
        <w:footnoteReference w:id="1"/>
      </w:r>
      <w:r w:rsidRPr="00BE0D96">
        <w:rPr>
          <w:lang w:val="fr-CH"/>
        </w:rPr>
        <w:t xml:space="preserve"> contenant les modifications de la partie IV de la Liste LIX portant sur l’élimination de leurs subventions à l’exportation conformément à la Décision ministérielle de Nairobi sur la concurrence à l’exportat</w:t>
      </w:r>
      <w:r>
        <w:rPr>
          <w:lang w:val="fr-CH"/>
        </w:rPr>
        <w:t>ion (WT/MIN(15)/45 et WT/L/980).</w:t>
      </w:r>
    </w:p>
    <w:p w:rsidR="002C25A6" w:rsidRPr="00BE0D96" w:rsidRDefault="002C25A6" w:rsidP="002C25A6">
      <w:pPr>
        <w:ind w:firstLine="567"/>
        <w:rPr>
          <w:sz w:val="15"/>
          <w:szCs w:val="15"/>
          <w:lang w:val="fr-CH"/>
        </w:rPr>
      </w:pPr>
    </w:p>
    <w:p w:rsidR="002C25A6" w:rsidRPr="00BE0D96" w:rsidRDefault="002C25A6" w:rsidP="002C25A6">
      <w:pPr>
        <w:jc w:val="center"/>
        <w:rPr>
          <w:b/>
          <w:lang w:val="fr-CH"/>
        </w:rPr>
      </w:pPr>
      <w:r w:rsidRPr="00BE0D96">
        <w:rPr>
          <w:b/>
          <w:lang w:val="fr-CH"/>
        </w:rPr>
        <w:t>_______________</w:t>
      </w:r>
    </w:p>
    <w:p w:rsidR="002C25A6" w:rsidRPr="00BE0D96" w:rsidRDefault="002C25A6" w:rsidP="002C25A6">
      <w:pPr>
        <w:rPr>
          <w:sz w:val="15"/>
          <w:szCs w:val="15"/>
          <w:lang w:val="fr-CH"/>
        </w:rPr>
      </w:pPr>
    </w:p>
    <w:p w:rsidR="002C25A6" w:rsidRPr="00BE0D96" w:rsidRDefault="002C25A6" w:rsidP="002C25A6">
      <w:pPr>
        <w:rPr>
          <w:sz w:val="15"/>
          <w:szCs w:val="15"/>
          <w:lang w:val="fr-CH"/>
        </w:rPr>
      </w:pPr>
    </w:p>
    <w:p w:rsidR="00337700" w:rsidRDefault="002C25A6" w:rsidP="002C25A6">
      <w:pPr>
        <w:rPr>
          <w:lang w:val="fr-CH"/>
        </w:rPr>
      </w:pPr>
      <w:r w:rsidRPr="00BE0D96">
        <w:rPr>
          <w:lang w:val="fr-CH"/>
        </w:rPr>
        <w:t xml:space="preserve">Si aucune objection n'est notifiée au Secrétariat dans un délai de trois mois à compter de la date du présent document, les rectifications et modifications </w:t>
      </w:r>
      <w:r>
        <w:rPr>
          <w:lang w:val="fr-CH"/>
        </w:rPr>
        <w:t>apportées à la Liste LIX Suisse</w:t>
      </w:r>
      <w:r>
        <w:rPr>
          <w:lang w:val="fr-CH"/>
        </w:rPr>
        <w:noBreakHyphen/>
      </w:r>
      <w:r w:rsidRPr="00BE0D96">
        <w:rPr>
          <w:lang w:val="fr-CH"/>
        </w:rPr>
        <w:t>Liechtenstein seront considérées comme approuvées et seront formellement certifiées</w:t>
      </w:r>
      <w:r>
        <w:rPr>
          <w:lang w:val="fr-CH"/>
        </w:rPr>
        <w:t>.</w:t>
      </w:r>
    </w:p>
    <w:p w:rsidR="002C25A6" w:rsidRDefault="002C25A6" w:rsidP="002C25A6">
      <w:pPr>
        <w:rPr>
          <w:lang w:val="fr-CH"/>
        </w:rPr>
        <w:sectPr w:rsidR="002C25A6" w:rsidSect="00AE3C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2C25A6" w:rsidRDefault="002C25A6" w:rsidP="002C25A6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lastRenderedPageBreak/>
        <w:t xml:space="preserve">Liste LIX - SUISSE </w:t>
      </w:r>
      <w:r>
        <w:rPr>
          <w:rFonts w:ascii="Times New Roman" w:hAnsi="Times New Roman"/>
          <w:b/>
          <w:sz w:val="20"/>
          <w:szCs w:val="20"/>
          <w:lang w:val="fr-CH"/>
        </w:rPr>
        <w:t>–</w:t>
      </w:r>
      <w:r w:rsidRPr="00BE0D96">
        <w:rPr>
          <w:rFonts w:ascii="Times New Roman" w:hAnsi="Times New Roman"/>
          <w:b/>
          <w:sz w:val="20"/>
          <w:szCs w:val="20"/>
          <w:lang w:val="fr-CH"/>
        </w:rPr>
        <w:t xml:space="preserve"> LIECHTENSTEIN</w:t>
      </w:r>
    </w:p>
    <w:p w:rsidR="002C25A6" w:rsidRPr="00BE0D96" w:rsidRDefault="002C25A6" w:rsidP="002C25A6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990DAF">
        <w:rPr>
          <w:rFonts w:ascii="Times New Roman" w:hAnsi="Times New Roman"/>
          <w:b/>
          <w:sz w:val="20"/>
          <w:szCs w:val="20"/>
          <w:lang w:val="fr-CH"/>
        </w:rPr>
        <w:t>Seul le texte français de la présente liste fai</w:t>
      </w:r>
      <w:r w:rsidR="00004B83">
        <w:rPr>
          <w:rFonts w:ascii="Times New Roman" w:hAnsi="Times New Roman"/>
          <w:b/>
          <w:sz w:val="20"/>
          <w:szCs w:val="20"/>
          <w:lang w:val="fr-CH"/>
        </w:rPr>
        <w:t>t</w:t>
      </w:r>
      <w:r w:rsidRPr="00990DAF">
        <w:rPr>
          <w:rFonts w:ascii="Times New Roman" w:hAnsi="Times New Roman"/>
          <w:b/>
          <w:sz w:val="20"/>
          <w:szCs w:val="20"/>
          <w:lang w:val="fr-CH"/>
        </w:rPr>
        <w:t xml:space="preserve"> foi</w:t>
      </w:r>
    </w:p>
    <w:p w:rsidR="002C25A6" w:rsidRPr="00BE0D96" w:rsidRDefault="002C25A6" w:rsidP="002C25A6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</w:p>
    <w:p w:rsidR="002C25A6" w:rsidRPr="00BE0D96" w:rsidRDefault="002C25A6" w:rsidP="002C25A6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t>PARTIE IV -  PRODUITS AGRICOLES: ENGAGEMENTS LIMITANT LE SUBVENTIONNEMENT</w:t>
      </w:r>
    </w:p>
    <w:p w:rsidR="002C25A6" w:rsidRPr="00BE0D96" w:rsidRDefault="002C25A6" w:rsidP="002C25A6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t>SECTION II: Subventions à l'exportation: Engagements de réduction des dépenses budgétaires et des quantités</w:t>
      </w:r>
    </w:p>
    <w:p w:rsidR="002C25A6" w:rsidRDefault="002C25A6" w:rsidP="002C25A6">
      <w:pPr>
        <w:jc w:val="center"/>
        <w:rPr>
          <w:lang w:val="fr-CH"/>
        </w:rPr>
      </w:pPr>
    </w:p>
    <w:p w:rsidR="002C25A6" w:rsidRDefault="002C25A6" w:rsidP="002C25A6">
      <w:pPr>
        <w:jc w:val="center"/>
        <w:rPr>
          <w:lang w:val="fr-CH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229"/>
        <w:gridCol w:w="1276"/>
        <w:gridCol w:w="1276"/>
        <w:gridCol w:w="1417"/>
        <w:gridCol w:w="1027"/>
        <w:gridCol w:w="1417"/>
        <w:gridCol w:w="1134"/>
        <w:gridCol w:w="1418"/>
        <w:gridCol w:w="1417"/>
      </w:tblGrid>
      <w:tr w:rsidR="002C25A6" w:rsidRPr="00CB6DD4" w:rsidTr="002C25A6">
        <w:trPr>
          <w:cantSplit/>
          <w:trHeight w:val="300"/>
          <w:tblHeader/>
        </w:trPr>
        <w:tc>
          <w:tcPr>
            <w:tcW w:w="2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Désignation des produits et numéros</w:t>
            </w:r>
          </w:p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  référence pertinents</w:t>
            </w:r>
          </w:p>
        </w:tc>
      </w:tr>
      <w:tr w:rsidR="002C25A6" w:rsidRPr="00CB6DD4" w:rsidTr="002C25A6">
        <w:trPr>
          <w:cantSplit/>
          <w:trHeight w:val="1200"/>
          <w:tblHeader/>
        </w:trPr>
        <w:tc>
          <w:tcPr>
            <w:tcW w:w="27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</w:t>
            </w:r>
            <w:r w:rsidR="00212B28"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œuvre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</w:t>
            </w:r>
            <w:r w:rsidR="00212B28"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œuvre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57"/>
          <w:tblHeader/>
        </w:trPr>
        <w:tc>
          <w:tcPr>
            <w:tcW w:w="2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tcBorders>
              <w:top w:val="single" w:sz="6" w:space="0" w:color="auto"/>
            </w:tcBorders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PRODUITS LAITIERS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443,7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284,0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78.685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161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 w:val="restart"/>
            <w:shd w:val="clear" w:color="auto" w:fill="auto"/>
            <w:noWrap/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0401.30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 xml:space="preserve">0402.10 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0402.21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0402.29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0403.10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0403.90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0406.20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0406.30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0406.40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15"/>
        </w:trPr>
        <w:tc>
          <w:tcPr>
            <w:tcW w:w="2706" w:type="dxa"/>
            <w:vMerge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BÉTAIL D'ÉLEVAGE ET CHEVAUX</w:t>
            </w: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22,4</w:t>
            </w: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14.307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303</w:t>
            </w: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 w:val="restart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0101.10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0101.90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0102.10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0102.90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 xml:space="preserve">0103.10 </w:t>
            </w: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ab/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0103.91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0103.92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0104.10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0104.20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DA58C2">
        <w:trPr>
          <w:cantSplit/>
          <w:trHeight w:val="60"/>
        </w:trPr>
        <w:tc>
          <w:tcPr>
            <w:tcW w:w="2706" w:type="dxa"/>
            <w:vMerge/>
            <w:tcBorders>
              <w:bottom w:val="nil"/>
            </w:tcBorders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DA58C2">
        <w:trPr>
          <w:cantSplit/>
          <w:trHeight w:val="315"/>
        </w:trPr>
        <w:tc>
          <w:tcPr>
            <w:tcW w:w="2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2C25A6" w:rsidRDefault="002C25A6" w:rsidP="002C25A6">
      <w:pPr>
        <w:jc w:val="center"/>
        <w:rPr>
          <w:lang w:val="fr-CH"/>
        </w:rPr>
      </w:pPr>
    </w:p>
    <w:p w:rsidR="002C25A6" w:rsidRDefault="002C25A6" w:rsidP="002C25A6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single" w:sz="8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53"/>
        <w:gridCol w:w="1229"/>
        <w:gridCol w:w="1276"/>
        <w:gridCol w:w="1276"/>
        <w:gridCol w:w="1417"/>
        <w:gridCol w:w="1027"/>
        <w:gridCol w:w="1275"/>
        <w:gridCol w:w="1276"/>
        <w:gridCol w:w="1418"/>
        <w:gridCol w:w="1417"/>
      </w:tblGrid>
      <w:tr w:rsidR="002C25A6" w:rsidRPr="00CB6DD4" w:rsidTr="002C25A6">
        <w:trPr>
          <w:cantSplit/>
          <w:trHeight w:val="300"/>
          <w:tblHeader/>
        </w:trPr>
        <w:tc>
          <w:tcPr>
            <w:tcW w:w="270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lastRenderedPageBreak/>
              <w:t>Désignation des produits et numéros</w:t>
            </w:r>
          </w:p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  référence pertinents</w:t>
            </w:r>
          </w:p>
        </w:tc>
      </w:tr>
      <w:tr w:rsidR="002C25A6" w:rsidRPr="00CB6DD4" w:rsidTr="002C25A6">
        <w:trPr>
          <w:cantSplit/>
          <w:trHeight w:val="1200"/>
          <w:tblHeader/>
        </w:trPr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</w:t>
            </w:r>
            <w:r w:rsidR="00212B28"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œuvre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</w:t>
            </w:r>
            <w:r w:rsidR="00212B28"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œuvre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57"/>
          <w:tblHeader/>
        </w:trPr>
        <w:tc>
          <w:tcPr>
            <w:tcW w:w="2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FRUITS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16,8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12.000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480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 w:val="restart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0808.10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0808.20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0809.20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0811.90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0812.10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0813.30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0813.40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0813.50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2007.99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2008.40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2008.60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2008.99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2009.71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2009.79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2009.80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2009.90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2206.00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2209.00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2308.00</w:t>
            </w: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15"/>
        </w:trPr>
        <w:tc>
          <w:tcPr>
            <w:tcW w:w="2706" w:type="dxa"/>
            <w:gridSpan w:val="2"/>
            <w:shd w:val="clear" w:color="auto" w:fill="auto"/>
            <w:noWrap/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gridSpan w:val="2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POMMES DE TERRE</w:t>
            </w: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2,3</w:t>
            </w: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10.680</w:t>
            </w: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437</w:t>
            </w: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 w:val="restart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0701.10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0701.90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0712.90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1105.10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1105.20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2001.90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2004.10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2004.90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2005.20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2005.99</w:t>
            </w: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DA58C2">
        <w:trPr>
          <w:cantSplit/>
          <w:trHeight w:val="300"/>
        </w:trPr>
        <w:tc>
          <w:tcPr>
            <w:tcW w:w="1353" w:type="dxa"/>
            <w:vMerge/>
            <w:tcBorders>
              <w:bottom w:val="nil"/>
            </w:tcBorders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DA58C2">
        <w:trPr>
          <w:cantSplit/>
          <w:trHeight w:val="315"/>
        </w:trPr>
        <w:tc>
          <w:tcPr>
            <w:tcW w:w="270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2C25A6" w:rsidRDefault="002C25A6" w:rsidP="002C25A6">
      <w:pPr>
        <w:jc w:val="center"/>
        <w:rPr>
          <w:lang w:val="fr-CH"/>
        </w:rPr>
      </w:pPr>
    </w:p>
    <w:p w:rsidR="002C25A6" w:rsidRDefault="002C25A6" w:rsidP="002C25A6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53"/>
        <w:gridCol w:w="303"/>
        <w:gridCol w:w="926"/>
        <w:gridCol w:w="1276"/>
        <w:gridCol w:w="808"/>
        <w:gridCol w:w="468"/>
        <w:gridCol w:w="1417"/>
        <w:gridCol w:w="1124"/>
        <w:gridCol w:w="152"/>
        <w:gridCol w:w="1276"/>
        <w:gridCol w:w="1026"/>
        <w:gridCol w:w="556"/>
        <w:gridCol w:w="862"/>
        <w:gridCol w:w="1417"/>
      </w:tblGrid>
      <w:tr w:rsidR="002C25A6" w:rsidRPr="00CB6DD4" w:rsidTr="002C25A6">
        <w:trPr>
          <w:cantSplit/>
          <w:trHeight w:val="300"/>
          <w:tblHeader/>
        </w:trPr>
        <w:tc>
          <w:tcPr>
            <w:tcW w:w="270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lastRenderedPageBreak/>
              <w:t>Désignation des produits et numéros</w:t>
            </w:r>
          </w:p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  référence pertinents</w:t>
            </w:r>
          </w:p>
        </w:tc>
      </w:tr>
      <w:tr w:rsidR="002C25A6" w:rsidRPr="00CB6DD4" w:rsidTr="002C25A6">
        <w:trPr>
          <w:cantSplit/>
          <w:trHeight w:val="1200"/>
          <w:tblHeader/>
        </w:trPr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</w:t>
            </w:r>
            <w:r w:rsidR="00212B28"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œuvre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</w:t>
            </w:r>
            <w:r w:rsidR="00212B28"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œuvre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57"/>
          <w:tblHeader/>
        </w:trPr>
        <w:tc>
          <w:tcPr>
            <w:tcW w:w="2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270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PRODUITS TRANSFORMÉS</w:t>
            </w: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fr-CH" w:eastAsia="nb-NO"/>
              </w:rPr>
              <w:t>1)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179,6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01.01.91-31.12.92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114,9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6" w:type="dxa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2C25A6" w:rsidRPr="00BE0D96" w:rsidTr="002C25A6">
        <w:trPr>
          <w:cantSplit/>
          <w:trHeight w:val="300"/>
        </w:trPr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gridSpan w:val="2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1er janvier 2021</w:t>
            </w:r>
          </w:p>
        </w:tc>
        <w:tc>
          <w:tcPr>
            <w:tcW w:w="1417" w:type="dxa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6" w:type="dxa"/>
            <w:shd w:val="clear" w:color="auto" w:fill="auto"/>
            <w:noWrap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C25A6" w:rsidRPr="00BE0D96" w:rsidRDefault="002C25A6" w:rsidP="005F333C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2C25A6" w:rsidRPr="00BE0D96" w:rsidRDefault="002C25A6" w:rsidP="005F33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CB6DD4" w:rsidTr="002C25A6">
        <w:trPr>
          <w:cantSplit/>
          <w:trHeight w:val="300"/>
        </w:trPr>
        <w:tc>
          <w:tcPr>
            <w:tcW w:w="14317" w:type="dxa"/>
            <w:gridSpan w:val="15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Peuvent bénéficier des restitutions à l'exportation: les produits transformés ne relevant pas des chapitres 4 et 11 du tarif d’usage des douanes suisse contenant: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2C25A6" w:rsidRPr="00BE0D96" w:rsidTr="002C25A6">
        <w:trPr>
          <w:cantSplit/>
          <w:trHeight w:val="300"/>
        </w:trPr>
        <w:tc>
          <w:tcPr>
            <w:tcW w:w="3009" w:type="dxa"/>
            <w:gridSpan w:val="3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0401.20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0401.30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0402.21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0402.21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0402.91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0402.99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0405.10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0405.90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10" w:type="dxa"/>
            <w:gridSpan w:val="3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0408.11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0408.19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0408.91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0408.99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1101.00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1102.10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1102.90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1103.11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1103.19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1104.19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1104.29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1104.30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10" w:type="dxa"/>
            <w:gridSpan w:val="4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1502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1503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1504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1506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1507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1508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1509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1510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1512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1513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1514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1515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1516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1701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1702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1703</w:t>
            </w:r>
          </w:p>
          <w:p w:rsidR="002C25A6" w:rsidRPr="00BE0D96" w:rsidRDefault="002C25A6" w:rsidP="005F333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2C25A6" w:rsidRDefault="002C25A6" w:rsidP="002C25A6">
      <w:pPr>
        <w:rPr>
          <w:lang w:val="fr-CH"/>
        </w:rPr>
      </w:pPr>
    </w:p>
    <w:p w:rsidR="002C25A6" w:rsidRPr="00BE0D96" w:rsidRDefault="002C25A6" w:rsidP="0012753D">
      <w:pPr>
        <w:pStyle w:val="ListParagraph"/>
        <w:numPr>
          <w:ilvl w:val="0"/>
          <w:numId w:val="10"/>
        </w:numPr>
        <w:spacing w:after="160" w:line="259" w:lineRule="auto"/>
        <w:rPr>
          <w:i/>
          <w:sz w:val="16"/>
          <w:szCs w:val="16"/>
          <w:lang w:val="fr-CH"/>
        </w:rPr>
      </w:pPr>
      <w:r w:rsidRPr="00BE0D96">
        <w:rPr>
          <w:sz w:val="16"/>
          <w:szCs w:val="16"/>
          <w:lang w:val="fr-CH"/>
        </w:rPr>
        <w:t xml:space="preserve">Le paragraphe 6 de la décision ministérielle de Nairobi sur la concurrence à l'exportation est précisé par la note de bas de page 4 comme suit </w:t>
      </w:r>
      <w:r w:rsidRPr="00BE0D96">
        <w:rPr>
          <w:i/>
          <w:sz w:val="16"/>
          <w:szCs w:val="16"/>
          <w:lang w:val="fr-CH"/>
        </w:rPr>
        <w:t>"Ce paragraphe ne visera pas les produits transformés, les produits laitiers et la viande de porc d'un Membre développé qui convient d'éliminer à compter du 1</w:t>
      </w:r>
      <w:r w:rsidRPr="00BE0D96">
        <w:rPr>
          <w:i/>
          <w:sz w:val="16"/>
          <w:szCs w:val="16"/>
          <w:vertAlign w:val="superscript"/>
          <w:lang w:val="fr-CH"/>
        </w:rPr>
        <w:t>er</w:t>
      </w:r>
      <w:r w:rsidRPr="00BE0D96">
        <w:rPr>
          <w:i/>
          <w:sz w:val="16"/>
          <w:szCs w:val="16"/>
          <w:lang w:val="fr-CH"/>
        </w:rPr>
        <w:t xml:space="preserve"> janvier 2016 toutes les subventions à l'exportation pour les produits destinés à des pays moins avancés, et qui a notifié des subventions à l'exportation pour ces produits ou catégories de produits dans l'une de ses trois notifications les plus récentes concernant les subventions à l'exportation examinées par le Comité de l'agriculture avant la date d'adoption de la présente décision. Pour ces produits, les subventions à l'exportation inscrites dans les listes seront éliminées pour la fin de 2020, et les niveaux des engagements en matière de quantités seront appliqués à titre de statu quo jusqu'à la fin de 2020 aux niveaux des quantités moyens effectifs de la période de base 2003-2005. En outre, aucune subvention à l'exportation ne sera appliquée pour de nouveaux marchés ou de nouveaux produits."</w:t>
      </w:r>
    </w:p>
    <w:p w:rsidR="002C25A6" w:rsidRDefault="002C25A6" w:rsidP="002C25A6">
      <w:pPr>
        <w:rPr>
          <w:lang w:val="fr-CH"/>
        </w:rPr>
      </w:pPr>
    </w:p>
    <w:p w:rsidR="002C25A6" w:rsidRDefault="002C25A6" w:rsidP="002C25A6">
      <w:pPr>
        <w:rPr>
          <w:lang w:val="fr-CH"/>
        </w:rPr>
      </w:pPr>
    </w:p>
    <w:p w:rsidR="002C25A6" w:rsidRPr="002C25A6" w:rsidRDefault="002C25A6" w:rsidP="002C25A6">
      <w:pPr>
        <w:jc w:val="center"/>
        <w:rPr>
          <w:lang w:val="fr-CH"/>
        </w:rPr>
      </w:pPr>
      <w:r>
        <w:rPr>
          <w:b/>
          <w:lang w:val="fr-CH"/>
        </w:rPr>
        <w:t>__________</w:t>
      </w:r>
    </w:p>
    <w:sectPr w:rsidR="002C25A6" w:rsidRPr="002C25A6" w:rsidSect="002C25A6">
      <w:headerReference w:type="even" r:id="rId15"/>
      <w:headerReference w:type="default" r:id="rId16"/>
      <w:headerReference w:type="first" r:id="rId17"/>
      <w:pgSz w:w="16838" w:h="11906" w:orient="landscape" w:code="9"/>
      <w:pgMar w:top="1134" w:right="1701" w:bottom="12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A6" w:rsidRDefault="002C25A6" w:rsidP="0002424F">
      <w:r>
        <w:separator/>
      </w:r>
    </w:p>
  </w:endnote>
  <w:endnote w:type="continuationSeparator" w:id="0">
    <w:p w:rsidR="002C25A6" w:rsidRDefault="002C25A6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6" w:rsidRPr="002C25A6" w:rsidRDefault="002C25A6" w:rsidP="002C25A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C25A6" w:rsidRDefault="002C25A6" w:rsidP="002C25A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A6" w:rsidRDefault="002C25A6" w:rsidP="0002424F">
      <w:r>
        <w:separator/>
      </w:r>
    </w:p>
  </w:footnote>
  <w:footnote w:type="continuationSeparator" w:id="0">
    <w:p w:rsidR="002C25A6" w:rsidRDefault="002C25A6" w:rsidP="0002424F">
      <w:r>
        <w:continuationSeparator/>
      </w:r>
    </w:p>
  </w:footnote>
  <w:footnote w:id="1">
    <w:p w:rsidR="002C25A6" w:rsidRDefault="002C25A6" w:rsidP="002C25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3661">
        <w:t>En français seulement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6" w:rsidRPr="002C25A6" w:rsidRDefault="002C25A6" w:rsidP="002C25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5A6">
      <w:t>G/MA/TAR/RS/539</w:t>
    </w:r>
  </w:p>
  <w:p w:rsidR="002C25A6" w:rsidRPr="002C25A6" w:rsidRDefault="002C25A6" w:rsidP="002C25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25A6" w:rsidRPr="002C25A6" w:rsidRDefault="002C25A6" w:rsidP="002C25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5A6">
      <w:t xml:space="preserve">- </w:t>
    </w:r>
    <w:r w:rsidRPr="002C25A6">
      <w:fldChar w:fldCharType="begin"/>
    </w:r>
    <w:r w:rsidRPr="002C25A6">
      <w:instrText xml:space="preserve"> PAGE </w:instrText>
    </w:r>
    <w:r w:rsidRPr="002C25A6">
      <w:fldChar w:fldCharType="separate"/>
    </w:r>
    <w:r w:rsidRPr="002C25A6">
      <w:rPr>
        <w:noProof/>
      </w:rPr>
      <w:t>3</w:t>
    </w:r>
    <w:r w:rsidRPr="002C25A6">
      <w:fldChar w:fldCharType="end"/>
    </w:r>
    <w:r w:rsidRPr="002C25A6">
      <w:t xml:space="preserve"> -</w:t>
    </w:r>
  </w:p>
  <w:p w:rsidR="002C25A6" w:rsidRPr="002C25A6" w:rsidRDefault="002C25A6" w:rsidP="002C25A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6" w:rsidRPr="002C25A6" w:rsidRDefault="002C25A6" w:rsidP="002C25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5A6">
      <w:t>G/MA/TAR/RS/539</w:t>
    </w:r>
  </w:p>
  <w:p w:rsidR="002C25A6" w:rsidRPr="002C25A6" w:rsidRDefault="002C25A6" w:rsidP="002C25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25A6" w:rsidRPr="002C25A6" w:rsidRDefault="002C25A6" w:rsidP="002C25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5A6">
      <w:t xml:space="preserve">- </w:t>
    </w:r>
    <w:r w:rsidRPr="002C25A6">
      <w:fldChar w:fldCharType="begin"/>
    </w:r>
    <w:r w:rsidRPr="002C25A6">
      <w:instrText xml:space="preserve"> PAGE </w:instrText>
    </w:r>
    <w:r w:rsidRPr="002C25A6">
      <w:fldChar w:fldCharType="separate"/>
    </w:r>
    <w:r w:rsidRPr="002C25A6">
      <w:rPr>
        <w:noProof/>
      </w:rPr>
      <w:t>3</w:t>
    </w:r>
    <w:r w:rsidRPr="002C25A6">
      <w:fldChar w:fldCharType="end"/>
    </w:r>
    <w:r w:rsidRPr="002C25A6">
      <w:t xml:space="preserve"> -</w:t>
    </w:r>
  </w:p>
  <w:p w:rsidR="00DD65B2" w:rsidRPr="002C25A6" w:rsidRDefault="00DD65B2" w:rsidP="002C25A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:rsidTr="00C30AD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2C25A6" w:rsidP="0009415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>RESTRICTED</w:t>
          </w:r>
        </w:p>
      </w:tc>
    </w:tr>
    <w:bookmarkEnd w:id="1"/>
    <w:tr w:rsidR="00172B05" w:rsidRPr="00D82AF6" w:rsidTr="00C30AD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D82AF6" w:rsidRDefault="00172B05" w:rsidP="00094155">
          <w:pPr>
            <w:jc w:val="left"/>
            <w:rPr>
              <w:szCs w:val="18"/>
            </w:rPr>
          </w:pPr>
          <w:r w:rsidRPr="00D82AF6">
            <w:rPr>
              <w:noProof/>
              <w:szCs w:val="18"/>
              <w:lang w:val="en-GB" w:eastAsia="en-GB"/>
            </w:rPr>
            <w:drawing>
              <wp:inline distT="0" distB="0" distL="0" distR="0" wp14:anchorId="32C04951" wp14:editId="15C976F4">
                <wp:extent cx="2386330" cy="7270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3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C30AD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25A6" w:rsidRDefault="002C25A6" w:rsidP="00094155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G/MA/TAR/RS/539</w:t>
          </w:r>
        </w:p>
        <w:bookmarkEnd w:id="2"/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C30AD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547A3" w:rsidP="00094155">
          <w:pPr>
            <w:jc w:val="right"/>
            <w:rPr>
              <w:szCs w:val="18"/>
            </w:rPr>
          </w:pPr>
          <w:r>
            <w:rPr>
              <w:szCs w:val="18"/>
            </w:rPr>
            <w:t>2 mai</w:t>
          </w:r>
          <w:r w:rsidR="002C25A6">
            <w:rPr>
              <w:szCs w:val="18"/>
            </w:rPr>
            <w:t xml:space="preserve"> 2018</w:t>
          </w:r>
        </w:p>
      </w:tc>
    </w:tr>
    <w:tr w:rsidR="00172B05" w:rsidRPr="00D82AF6" w:rsidTr="00C30AD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1547A3" w:rsidP="00094155">
          <w:pPr>
            <w:jc w:val="left"/>
            <w:rPr>
              <w:b/>
              <w:szCs w:val="18"/>
            </w:rPr>
          </w:pPr>
          <w:bookmarkStart w:id="3" w:name="bmkSerial" w:colFirst="0" w:colLast="0"/>
          <w:r>
            <w:rPr>
              <w:color w:val="FF0000"/>
              <w:szCs w:val="18"/>
            </w:rPr>
            <w:t>(18-2720</w:t>
          </w:r>
          <w:r w:rsidR="00172B05" w:rsidRPr="00D82AF6">
            <w:rPr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172B05" w:rsidP="00094155">
          <w:pPr>
            <w:jc w:val="right"/>
            <w:rPr>
              <w:szCs w:val="18"/>
            </w:rPr>
          </w:pPr>
          <w:bookmarkStart w:id="4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1547A3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1547A3">
            <w:rPr>
              <w:bCs/>
              <w:noProof/>
              <w:szCs w:val="18"/>
            </w:rPr>
            <w:t>4</w:t>
          </w:r>
          <w:r w:rsidRPr="00D82AF6">
            <w:rPr>
              <w:bCs/>
              <w:szCs w:val="18"/>
            </w:rPr>
            <w:fldChar w:fldCharType="end"/>
          </w:r>
          <w:bookmarkEnd w:id="4"/>
        </w:p>
      </w:tc>
    </w:tr>
    <w:tr w:rsidR="00172B05" w:rsidRPr="00D82AF6" w:rsidTr="00C30AD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D82AF6" w:rsidRDefault="002C25A6" w:rsidP="00094155">
          <w:pPr>
            <w:jc w:val="left"/>
            <w:rPr>
              <w:szCs w:val="18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  <w:szCs w:val="18"/>
            </w:rPr>
            <w:t>Comité de l'accès aux marchés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D82AF6" w:rsidRDefault="002C25A6" w:rsidP="0009415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français</w:t>
          </w:r>
        </w:p>
      </w:tc>
    </w:tr>
    <w:bookmarkEnd w:id="6"/>
  </w:tbl>
  <w:p w:rsidR="00DD65B2" w:rsidRDefault="00DD6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6" w:rsidRDefault="002C25A6" w:rsidP="002C25A6">
    <w:pPr>
      <w:framePr w:w="709" w:h="9071" w:hRule="exact" w:hSpace="180" w:wrap="around" w:vAnchor="text" w:hAnchor="page" w:x="15421" w:y="1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extDirection w:val="tbRl"/>
    </w:pPr>
  </w:p>
  <w:p w:rsidR="00CC6106" w:rsidRPr="002C25A6" w:rsidRDefault="001547A3" w:rsidP="002C25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6" w:rsidRDefault="002C25A6" w:rsidP="002C25A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G/MA/TAR/RS/539</w:t>
    </w:r>
  </w:p>
  <w:p w:rsidR="002C25A6" w:rsidRDefault="002C25A6" w:rsidP="002C25A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2C25A6" w:rsidRDefault="002C25A6" w:rsidP="002C25A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547A3">
      <w:rPr>
        <w:noProof/>
      </w:rPr>
      <w:t>2</w:t>
    </w:r>
    <w:r>
      <w:fldChar w:fldCharType="end"/>
    </w:r>
    <w:r>
      <w:t xml:space="preserve"> -</w:t>
    </w:r>
  </w:p>
  <w:p w:rsidR="00CC6106" w:rsidRPr="002C25A6" w:rsidRDefault="001547A3" w:rsidP="002C25A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12" w:rsidRDefault="00154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454AB1"/>
    <w:multiLevelType w:val="multilevel"/>
    <w:tmpl w:val="075A666C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>
    <w:nsid w:val="63B13F8D"/>
    <w:multiLevelType w:val="hybridMultilevel"/>
    <w:tmpl w:val="7A2A236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6"/>
    <w:rsid w:val="00004B83"/>
    <w:rsid w:val="000074D5"/>
    <w:rsid w:val="0002424F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2753D"/>
    <w:rsid w:val="001338F0"/>
    <w:rsid w:val="0014012F"/>
    <w:rsid w:val="001547A3"/>
    <w:rsid w:val="00172B05"/>
    <w:rsid w:val="001B50DF"/>
    <w:rsid w:val="001D7618"/>
    <w:rsid w:val="001F6508"/>
    <w:rsid w:val="00212B28"/>
    <w:rsid w:val="002149CB"/>
    <w:rsid w:val="002242B5"/>
    <w:rsid w:val="00255119"/>
    <w:rsid w:val="00287066"/>
    <w:rsid w:val="00295BF7"/>
    <w:rsid w:val="002C25A6"/>
    <w:rsid w:val="002D5A5B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A030D"/>
    <w:rsid w:val="004C3977"/>
    <w:rsid w:val="004D5FBF"/>
    <w:rsid w:val="005608D3"/>
    <w:rsid w:val="005631BA"/>
    <w:rsid w:val="00571EE1"/>
    <w:rsid w:val="00585782"/>
    <w:rsid w:val="00592965"/>
    <w:rsid w:val="005B571A"/>
    <w:rsid w:val="005C6D4E"/>
    <w:rsid w:val="005D21E5"/>
    <w:rsid w:val="005E14C9"/>
    <w:rsid w:val="0060279C"/>
    <w:rsid w:val="00611CE1"/>
    <w:rsid w:val="006248DB"/>
    <w:rsid w:val="00674833"/>
    <w:rsid w:val="006A41F1"/>
    <w:rsid w:val="006A4BAD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273E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22BB"/>
    <w:rsid w:val="0093775F"/>
    <w:rsid w:val="00966CFA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420F2"/>
    <w:rsid w:val="00D65AF6"/>
    <w:rsid w:val="00D66DCB"/>
    <w:rsid w:val="00D66F5C"/>
    <w:rsid w:val="00D82AF6"/>
    <w:rsid w:val="00DA58C2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6594D"/>
    <w:rsid w:val="00F84BAB"/>
    <w:rsid w:val="00F854DF"/>
    <w:rsid w:val="00F94FC2"/>
    <w:rsid w:val="00FB29A7"/>
    <w:rsid w:val="00FB590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9FFE-AD57-41EC-A5BE-89556CA3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WTODOCF2012</Template>
  <TotalTime>26</TotalTime>
  <Pages>4</Pages>
  <Words>880</Words>
  <Characters>4663</Characters>
  <Application>Microsoft Office Word</Application>
  <DocSecurity>0</DocSecurity>
  <Lines>629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2018-04-30T09:32:00Z</cp:lastPrinted>
  <dcterms:created xsi:type="dcterms:W3CDTF">2018-04-26T07:32:00Z</dcterms:created>
  <dcterms:modified xsi:type="dcterms:W3CDTF">2018-05-02T08:52:00Z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G/MA/TAR/RS/539</vt:lpwstr>
  </property>
</Properties>
</file>