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2F" w:rsidRPr="00FA0C36" w:rsidRDefault="00592D2F" w:rsidP="00592D2F">
      <w:pPr>
        <w:pStyle w:val="Title"/>
        <w:rPr>
          <w:caps w:val="0"/>
          <w:kern w:val="0"/>
          <w:lang w:val="fr-FR"/>
        </w:rPr>
      </w:pPr>
      <w:bookmarkStart w:id="0" w:name="_GoBack"/>
      <w:bookmarkEnd w:id="0"/>
      <w:r w:rsidRPr="00FA0C36">
        <w:rPr>
          <w:caps w:val="0"/>
          <w:kern w:val="0"/>
          <w:lang w:val="fr-FR"/>
        </w:rPr>
        <w:t>RECTIFICATION ET MODIFICATION DES LISTES</w:t>
      </w:r>
    </w:p>
    <w:p w:rsidR="00592D2F" w:rsidRPr="00FA0C36" w:rsidRDefault="000875FB" w:rsidP="00592D2F">
      <w:pPr>
        <w:pStyle w:val="Title2"/>
        <w:rPr>
          <w:caps w:val="0"/>
          <w:lang w:val="fr-FR"/>
        </w:rPr>
      </w:pPr>
      <w:r>
        <w:rPr>
          <w:caps w:val="0"/>
          <w:lang w:val="fr-FR"/>
        </w:rPr>
        <w:t>LISTE LXIII –</w:t>
      </w:r>
      <w:r w:rsidR="00592D2F" w:rsidRPr="00FA0C36">
        <w:rPr>
          <w:caps w:val="0"/>
          <w:lang w:val="fr-FR"/>
        </w:rPr>
        <w:t xml:space="preserve"> ÉGYPTE</w:t>
      </w:r>
    </w:p>
    <w:p w:rsidR="00592D2F" w:rsidRPr="00FA0C36" w:rsidRDefault="00592D2F" w:rsidP="00592D2F">
      <w:pPr>
        <w:rPr>
          <w:lang w:val="fr-FR"/>
        </w:rPr>
      </w:pPr>
      <w:r w:rsidRPr="00FA0C36">
        <w:rPr>
          <w:lang w:val="fr-FR"/>
        </w:rPr>
        <w:t>La communication ci</w:t>
      </w:r>
      <w:r w:rsidRPr="00FA0C36">
        <w:rPr>
          <w:lang w:val="fr-FR"/>
        </w:rPr>
        <w:noBreakHyphen/>
        <w:t>après, datée du 18 avril 2018, est distribuée à la demande de la délégation de l'Égypte.</w:t>
      </w:r>
    </w:p>
    <w:p w:rsidR="00592D2F" w:rsidRPr="00FA0C36" w:rsidRDefault="00592D2F" w:rsidP="00592D2F">
      <w:pPr>
        <w:rPr>
          <w:lang w:val="fr-FR"/>
        </w:rPr>
      </w:pPr>
    </w:p>
    <w:p w:rsidR="00592D2F" w:rsidRPr="00FA0C36" w:rsidRDefault="00592D2F" w:rsidP="00592D2F">
      <w:pPr>
        <w:jc w:val="center"/>
        <w:rPr>
          <w:b/>
          <w:lang w:val="fr-FR"/>
        </w:rPr>
      </w:pPr>
      <w:r w:rsidRPr="00FA0C36">
        <w:rPr>
          <w:b/>
          <w:lang w:val="fr-FR"/>
        </w:rPr>
        <w:t>_______________</w:t>
      </w:r>
    </w:p>
    <w:p w:rsidR="00592D2F" w:rsidRPr="00FA0C36" w:rsidRDefault="00592D2F" w:rsidP="00592D2F">
      <w:pPr>
        <w:rPr>
          <w:lang w:val="fr-FR"/>
        </w:rPr>
      </w:pPr>
    </w:p>
    <w:p w:rsidR="00592D2F" w:rsidRPr="00FA0C36" w:rsidRDefault="00592D2F" w:rsidP="00592D2F">
      <w:pPr>
        <w:rPr>
          <w:lang w:val="fr-FR"/>
        </w:rPr>
      </w:pPr>
    </w:p>
    <w:p w:rsidR="00592D2F" w:rsidRDefault="00592D2F" w:rsidP="00592D2F">
      <w:pPr>
        <w:rPr>
          <w:lang w:val="fr-FR" w:eastAsia="zh-HK"/>
        </w:rPr>
      </w:pPr>
      <w:r w:rsidRPr="00FA0C36">
        <w:rPr>
          <w:lang w:val="fr-FR" w:eastAsia="zh-HK"/>
        </w:rPr>
        <w:t>Conformément aux Procédures de modification et de rectification des Listes de concessions tarifaires énoncées dans la Décision du 26 mars 1980 (</w:t>
      </w:r>
      <w:proofErr w:type="spellStart"/>
      <w:r w:rsidRPr="00FA0C36">
        <w:rPr>
          <w:lang w:val="fr-FR" w:eastAsia="zh-HK"/>
        </w:rPr>
        <w:t>IBDD</w:t>
      </w:r>
      <w:proofErr w:type="spellEnd"/>
      <w:r w:rsidRPr="00FA0C36">
        <w:rPr>
          <w:lang w:val="fr-FR" w:eastAsia="zh-HK"/>
        </w:rPr>
        <w:t>, S27/26), l'Égypte notifie les projets de rectifications techniques concernant la Liste LXIII mentionnés dans les pièces jointes.</w:t>
      </w:r>
      <w:r w:rsidRPr="00FA0C36">
        <w:rPr>
          <w:rStyle w:val="FootnoteReference"/>
          <w:lang w:val="fr-FR" w:eastAsia="zh-HK"/>
        </w:rPr>
        <w:footnoteReference w:id="1"/>
      </w:r>
    </w:p>
    <w:p w:rsidR="000875FB" w:rsidRPr="00FA0C36" w:rsidRDefault="000875FB" w:rsidP="00592D2F">
      <w:pPr>
        <w:rPr>
          <w:lang w:val="fr-FR" w:eastAsia="zh-HK"/>
        </w:rPr>
      </w:pPr>
    </w:p>
    <w:p w:rsidR="00592D2F" w:rsidRPr="00FA0C36" w:rsidRDefault="00592D2F" w:rsidP="00592D2F">
      <w:pPr>
        <w:rPr>
          <w:lang w:val="fr-FR" w:eastAsia="zh-HK"/>
        </w:rPr>
      </w:pPr>
      <w:r w:rsidRPr="00FA0C36">
        <w:rPr>
          <w:lang w:val="fr-FR" w:eastAsia="zh-HK"/>
        </w:rPr>
        <w:t xml:space="preserve">Après que la transposition de la Liste LXIII – Égypte dans le SH2007 a été certifiée dans le document </w:t>
      </w:r>
      <w:proofErr w:type="spellStart"/>
      <w:r w:rsidRPr="00FA0C36">
        <w:rPr>
          <w:lang w:val="fr-FR" w:eastAsia="zh-HK"/>
        </w:rPr>
        <w:t>WT</w:t>
      </w:r>
      <w:proofErr w:type="spellEnd"/>
      <w:r w:rsidRPr="00FA0C36">
        <w:rPr>
          <w:lang w:val="fr-FR" w:eastAsia="zh-HK"/>
        </w:rPr>
        <w:t>/Let/1038, l'Égypte a relevé un certain nombre d'erreurs et d'incohérences consécutives à l'introduction des engagements au titre de l'ATI.</w:t>
      </w:r>
    </w:p>
    <w:p w:rsidR="00592D2F" w:rsidRPr="00FA0C36" w:rsidRDefault="00592D2F" w:rsidP="00592D2F">
      <w:pPr>
        <w:rPr>
          <w:lang w:val="fr-FR" w:eastAsia="zh-HK"/>
        </w:rPr>
      </w:pPr>
    </w:p>
    <w:p w:rsidR="00592D2F" w:rsidRPr="00FA0C36" w:rsidRDefault="00592D2F" w:rsidP="00592D2F">
      <w:pPr>
        <w:rPr>
          <w:lang w:val="fr-FR" w:eastAsia="zh-HK"/>
        </w:rPr>
      </w:pPr>
      <w:r w:rsidRPr="00FA0C36">
        <w:rPr>
          <w:lang w:val="fr-FR" w:eastAsia="zh-HK"/>
        </w:rPr>
        <w:t>Afin de corriger ces erreurs, l'Égypte a élaboré, avec l'aide du Secrétariat de l'OMC, la présente rectification destinée à:</w:t>
      </w:r>
    </w:p>
    <w:p w:rsidR="00592D2F" w:rsidRPr="00FA0C36" w:rsidRDefault="00592D2F" w:rsidP="00592D2F">
      <w:pPr>
        <w:rPr>
          <w:lang w:val="fr-FR" w:eastAsia="zh-HK"/>
        </w:rPr>
      </w:pPr>
    </w:p>
    <w:p w:rsidR="00592D2F" w:rsidRDefault="00592D2F" w:rsidP="00592D2F">
      <w:pPr>
        <w:ind w:left="720" w:hanging="720"/>
        <w:rPr>
          <w:lang w:val="fr-FR" w:eastAsia="zh-HK"/>
        </w:rPr>
      </w:pPr>
      <w:r w:rsidRPr="00FA0C36">
        <w:rPr>
          <w:lang w:val="fr-FR" w:eastAsia="zh-HK"/>
        </w:rPr>
        <w:t>i)</w:t>
      </w:r>
      <w:r w:rsidRPr="00FA0C36">
        <w:rPr>
          <w:lang w:val="fr-FR" w:eastAsia="zh-HK"/>
        </w:rPr>
        <w:tab/>
        <w:t>remplacer le type de consolidation pour la ligne tarifa</w:t>
      </w:r>
      <w:r w:rsidR="008F34FD">
        <w:rPr>
          <w:lang w:val="fr-FR" w:eastAsia="zh-HK"/>
        </w:rPr>
        <w:t>ire 84219100 par "</w:t>
      </w:r>
      <w:proofErr w:type="spellStart"/>
      <w:r w:rsidR="008F34FD">
        <w:rPr>
          <w:lang w:val="fr-FR" w:eastAsia="zh-HK"/>
        </w:rPr>
        <w:t>Unbound</w:t>
      </w:r>
      <w:proofErr w:type="spellEnd"/>
      <w:r w:rsidR="008F34FD">
        <w:rPr>
          <w:lang w:val="fr-FR" w:eastAsia="zh-HK"/>
        </w:rPr>
        <w:t>" (Non </w:t>
      </w:r>
      <w:r w:rsidRPr="00FA0C36">
        <w:rPr>
          <w:lang w:val="fr-FR" w:eastAsia="zh-HK"/>
        </w:rPr>
        <w:t xml:space="preserve">consolidé) conformément à la liste ATI de l'Égypte, certifiée dans le document </w:t>
      </w:r>
      <w:proofErr w:type="spellStart"/>
      <w:r w:rsidRPr="00FA0C36">
        <w:rPr>
          <w:lang w:val="fr-FR" w:eastAsia="zh-HK"/>
        </w:rPr>
        <w:t>WT</w:t>
      </w:r>
      <w:proofErr w:type="spellEnd"/>
      <w:r w:rsidRPr="00FA0C36">
        <w:rPr>
          <w:lang w:val="fr-FR" w:eastAsia="zh-HK"/>
        </w:rPr>
        <w:t>/Let/459;</w:t>
      </w:r>
    </w:p>
    <w:p w:rsidR="000875FB" w:rsidRPr="00FA0C36" w:rsidRDefault="000875FB" w:rsidP="00592D2F">
      <w:pPr>
        <w:ind w:left="720" w:hanging="720"/>
        <w:rPr>
          <w:lang w:val="fr-FR" w:eastAsia="zh-HK"/>
        </w:rPr>
      </w:pPr>
    </w:p>
    <w:p w:rsidR="00592D2F" w:rsidRPr="00FA0C36" w:rsidRDefault="00592D2F" w:rsidP="00592D2F">
      <w:pPr>
        <w:ind w:left="720" w:hanging="720"/>
        <w:rPr>
          <w:lang w:val="fr-FR" w:eastAsia="zh-HK"/>
        </w:rPr>
      </w:pPr>
      <w:r w:rsidRPr="00FA0C36">
        <w:rPr>
          <w:lang w:val="fr-FR" w:eastAsia="zh-HK"/>
        </w:rPr>
        <w:t>ii)</w:t>
      </w:r>
      <w:r w:rsidRPr="00FA0C36">
        <w:rPr>
          <w:lang w:val="fr-FR" w:eastAsia="zh-HK"/>
        </w:rPr>
        <w:tab/>
        <w:t xml:space="preserve">subdiviser la ligne tarifaire 85299090 pour faire apparaître la partie non consolidée conformément à la liste ATI de l'Égypte, certifiée dans le document </w:t>
      </w:r>
      <w:proofErr w:type="spellStart"/>
      <w:r w:rsidRPr="00FA0C36">
        <w:rPr>
          <w:lang w:val="fr-FR" w:eastAsia="zh-HK"/>
        </w:rPr>
        <w:t>WT</w:t>
      </w:r>
      <w:proofErr w:type="spellEnd"/>
      <w:r w:rsidRPr="00FA0C36">
        <w:rPr>
          <w:lang w:val="fr-FR" w:eastAsia="zh-HK"/>
        </w:rPr>
        <w:t>/Let/459;</w:t>
      </w:r>
    </w:p>
    <w:p w:rsidR="00592D2F" w:rsidRPr="00FA0C36" w:rsidRDefault="00592D2F" w:rsidP="00592D2F">
      <w:pPr>
        <w:rPr>
          <w:lang w:val="fr-FR" w:eastAsia="zh-HK"/>
        </w:rPr>
      </w:pPr>
    </w:p>
    <w:p w:rsidR="00592D2F" w:rsidRPr="00FA0C36" w:rsidRDefault="00592D2F" w:rsidP="00592D2F">
      <w:pPr>
        <w:ind w:left="720" w:hanging="720"/>
        <w:rPr>
          <w:lang w:val="fr-FR" w:eastAsia="zh-HK"/>
        </w:rPr>
      </w:pPr>
      <w:r w:rsidRPr="00FA0C36">
        <w:rPr>
          <w:lang w:val="fr-FR" w:eastAsia="zh-HK"/>
        </w:rPr>
        <w:t>iii)</w:t>
      </w:r>
      <w:r w:rsidRPr="00FA0C36">
        <w:rPr>
          <w:lang w:val="fr-FR" w:eastAsia="zh-HK"/>
        </w:rPr>
        <w:tab/>
        <w:t>subdiviser la ligne tarifaire 90319000 pour faire apparaître les parties relevant de l'ATI sous les sous</w:t>
      </w:r>
      <w:r w:rsidRPr="00FA0C36">
        <w:rPr>
          <w:lang w:val="fr-FR" w:eastAsia="zh-HK"/>
        </w:rPr>
        <w:noBreakHyphen/>
        <w:t>positions 90319010 et 90319020 et la partie non consolidée sous la sous</w:t>
      </w:r>
      <w:r w:rsidRPr="00FA0C36">
        <w:rPr>
          <w:lang w:val="fr-FR" w:eastAsia="zh-HK"/>
        </w:rPr>
        <w:noBreakHyphen/>
        <w:t>position 90319090 conformément à la liste ATI de l'Égypte, certifié</w:t>
      </w:r>
      <w:r w:rsidR="00A93936">
        <w:rPr>
          <w:lang w:val="fr-FR" w:eastAsia="zh-HK"/>
        </w:rPr>
        <w:t xml:space="preserve">e dans le document </w:t>
      </w:r>
      <w:proofErr w:type="spellStart"/>
      <w:r w:rsidR="00A93936">
        <w:rPr>
          <w:lang w:val="fr-FR" w:eastAsia="zh-HK"/>
        </w:rPr>
        <w:t>WT</w:t>
      </w:r>
      <w:proofErr w:type="spellEnd"/>
      <w:r w:rsidR="00A93936">
        <w:rPr>
          <w:lang w:val="fr-FR" w:eastAsia="zh-HK"/>
        </w:rPr>
        <w:t>/Let/459.</w:t>
      </w:r>
    </w:p>
    <w:p w:rsidR="00592D2F" w:rsidRPr="00FA0C36" w:rsidRDefault="00592D2F" w:rsidP="00592D2F">
      <w:pPr>
        <w:rPr>
          <w:lang w:val="fr-FR" w:eastAsia="zh-HK"/>
        </w:rPr>
      </w:pPr>
    </w:p>
    <w:p w:rsidR="00592D2F" w:rsidRPr="00FA0C36" w:rsidRDefault="00592D2F" w:rsidP="00592D2F">
      <w:pPr>
        <w:rPr>
          <w:szCs w:val="18"/>
          <w:lang w:val="fr-FR" w:eastAsia="zh-TW"/>
        </w:rPr>
      </w:pPr>
      <w:r w:rsidRPr="00FA0C36">
        <w:rPr>
          <w:lang w:val="fr-FR" w:eastAsia="zh-HK"/>
        </w:rPr>
        <w:t>Des notes explicatives détaillée</w:t>
      </w:r>
      <w:r w:rsidR="00F62E6B">
        <w:rPr>
          <w:lang w:val="fr-FR" w:eastAsia="zh-HK"/>
        </w:rPr>
        <w:t>s figurent dans la pièce jointe </w:t>
      </w:r>
      <w:r w:rsidRPr="00FA0C36">
        <w:rPr>
          <w:lang w:val="fr-FR" w:eastAsia="zh-HK"/>
        </w:rPr>
        <w:t>1. Le projet proposant les rectifications figure dans la pièce jointe 2</w:t>
      </w:r>
      <w:r w:rsidRPr="00FA0C36">
        <w:rPr>
          <w:szCs w:val="18"/>
          <w:lang w:val="fr-FR" w:eastAsia="zh-TW"/>
        </w:rPr>
        <w:t xml:space="preserve">. Les rectifications proposées ne modifient pas la portée des concessions consenties par l'Égypte dans le cadre de sa participation à l'ATI et qui ont fait l'objet d'une certification dans le document </w:t>
      </w:r>
      <w:proofErr w:type="spellStart"/>
      <w:r w:rsidRPr="00FA0C36">
        <w:rPr>
          <w:lang w:val="fr-FR" w:eastAsia="zh-HK"/>
        </w:rPr>
        <w:t>WT</w:t>
      </w:r>
      <w:proofErr w:type="spellEnd"/>
      <w:r w:rsidRPr="00FA0C36">
        <w:rPr>
          <w:lang w:val="fr-FR" w:eastAsia="zh-HK"/>
        </w:rPr>
        <w:t>/Let/459</w:t>
      </w:r>
      <w:r w:rsidRPr="00FA0C36">
        <w:rPr>
          <w:szCs w:val="18"/>
          <w:lang w:val="fr-FR" w:eastAsia="zh-TW"/>
        </w:rPr>
        <w:t>.</w:t>
      </w:r>
    </w:p>
    <w:p w:rsidR="00592D2F" w:rsidRPr="00FA0C36" w:rsidRDefault="00592D2F" w:rsidP="00592D2F">
      <w:pPr>
        <w:rPr>
          <w:lang w:val="fr-FR"/>
        </w:rPr>
      </w:pPr>
    </w:p>
    <w:p w:rsidR="00592D2F" w:rsidRPr="00FA0C36" w:rsidRDefault="00592D2F" w:rsidP="00592D2F">
      <w:pPr>
        <w:jc w:val="center"/>
        <w:rPr>
          <w:b/>
          <w:lang w:val="fr-FR"/>
        </w:rPr>
      </w:pPr>
      <w:r w:rsidRPr="00FA0C36">
        <w:rPr>
          <w:b/>
          <w:lang w:val="fr-FR"/>
        </w:rPr>
        <w:t>_______________</w:t>
      </w:r>
    </w:p>
    <w:p w:rsidR="00592D2F" w:rsidRPr="00FA0C36" w:rsidRDefault="00592D2F" w:rsidP="00592D2F">
      <w:pPr>
        <w:rPr>
          <w:lang w:val="fr-FR"/>
        </w:rPr>
      </w:pPr>
    </w:p>
    <w:p w:rsidR="00592D2F" w:rsidRPr="00FA0C36" w:rsidRDefault="00592D2F" w:rsidP="00592D2F">
      <w:pPr>
        <w:rPr>
          <w:lang w:val="fr-FR"/>
        </w:rPr>
      </w:pPr>
    </w:p>
    <w:p w:rsidR="00592D2F" w:rsidRPr="00FA0C36" w:rsidRDefault="00592D2F" w:rsidP="00592D2F">
      <w:pPr>
        <w:rPr>
          <w:lang w:val="fr-FR"/>
        </w:rPr>
      </w:pPr>
      <w:r w:rsidRPr="00FA0C36">
        <w:rPr>
          <w:rStyle w:val="lblseg"/>
          <w:color w:val="000000"/>
        </w:rPr>
        <w:t>Si aucune objection n'est notifiée au Secrétariat dans un délai de trois mois à compter de la date du présent document, les rectifications et modifications de la Liste</w:t>
      </w:r>
      <w:r w:rsidRPr="00FA0C36">
        <w:rPr>
          <w:lang w:val="fr-FR"/>
        </w:rPr>
        <w:t xml:space="preserve"> LXIII</w:t>
      </w:r>
      <w:r w:rsidRPr="00FA0C36">
        <w:rPr>
          <w:lang w:val="fr-FR" w:eastAsia="zh-HK"/>
        </w:rPr>
        <w:t xml:space="preserve"> </w:t>
      </w:r>
      <w:r w:rsidR="00F62E6B">
        <w:rPr>
          <w:lang w:val="fr-FR" w:eastAsia="zh-HK"/>
        </w:rPr>
        <w:t>–</w:t>
      </w:r>
      <w:r w:rsidRPr="00FA0C36">
        <w:rPr>
          <w:lang w:val="fr-FR" w:eastAsia="zh-HK"/>
        </w:rPr>
        <w:t xml:space="preserve"> Égypte</w:t>
      </w:r>
      <w:r w:rsidRPr="00FA0C36">
        <w:rPr>
          <w:lang w:val="fr-FR"/>
        </w:rPr>
        <w:t xml:space="preserve"> </w:t>
      </w:r>
      <w:r w:rsidRPr="00FA0C36">
        <w:rPr>
          <w:rStyle w:val="lblseg"/>
          <w:color w:val="000000"/>
        </w:rPr>
        <w:t>seront considérées comme approuvées et seront officiellement certifiées</w:t>
      </w:r>
      <w:r w:rsidRPr="00FA0C36">
        <w:rPr>
          <w:lang w:val="fr-FR"/>
        </w:rPr>
        <w:t>.</w:t>
      </w:r>
    </w:p>
    <w:p w:rsidR="00844A78" w:rsidRPr="00A070B8" w:rsidRDefault="00844A78" w:rsidP="00B52738">
      <w:pPr>
        <w:rPr>
          <w:lang w:val="fr-CH"/>
        </w:rPr>
        <w:sectPr w:rsidR="00844A78" w:rsidRPr="00A070B8" w:rsidSect="005706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844A78" w:rsidRPr="00BF1CA8" w:rsidRDefault="00844A78" w:rsidP="00844A78">
      <w:pPr>
        <w:pStyle w:val="Title"/>
        <w:rPr>
          <w:lang w:val="en-US"/>
        </w:rPr>
      </w:pPr>
      <w:r w:rsidRPr="00BF1CA8">
        <w:rPr>
          <w:lang w:val="en-US"/>
        </w:rPr>
        <w:lastRenderedPageBreak/>
        <w:t>ATTACHMENT</w:t>
      </w:r>
      <w:r>
        <w:rPr>
          <w:lang w:val="en-US"/>
        </w:rPr>
        <w:t xml:space="preserve"> 1</w:t>
      </w:r>
      <w:r w:rsidRPr="00BF1CA8">
        <w:rPr>
          <w:lang w:val="en-US"/>
        </w:rPr>
        <w:t xml:space="preserve"> – EXPLANATORY NOTE </w:t>
      </w:r>
    </w:p>
    <w:p w:rsidR="00844A78" w:rsidRDefault="00844A78" w:rsidP="00844A78">
      <w:pPr>
        <w:spacing w:after="180"/>
        <w:rPr>
          <w:szCs w:val="18"/>
          <w:lang w:val="en-US" w:eastAsia="zh-TW"/>
        </w:rPr>
      </w:pPr>
      <w:r w:rsidRPr="00CF4540">
        <w:rPr>
          <w:lang w:eastAsia="zh-HK"/>
        </w:rPr>
        <w:t>In the course of verifying the Harmonized System 20</w:t>
      </w:r>
      <w:r>
        <w:rPr>
          <w:lang w:eastAsia="zh-HK"/>
        </w:rPr>
        <w:t>12</w:t>
      </w:r>
      <w:r w:rsidRPr="00CF4540">
        <w:rPr>
          <w:lang w:eastAsia="zh-HK"/>
        </w:rPr>
        <w:t xml:space="preserve"> (HS20</w:t>
      </w:r>
      <w:r>
        <w:rPr>
          <w:lang w:eastAsia="zh-HK"/>
        </w:rPr>
        <w:t>12</w:t>
      </w:r>
      <w:r w:rsidRPr="00CF4540">
        <w:rPr>
          <w:lang w:eastAsia="zh-HK"/>
        </w:rPr>
        <w:t xml:space="preserve">) transposition file </w:t>
      </w:r>
      <w:r>
        <w:rPr>
          <w:lang w:eastAsia="zh-HK"/>
        </w:rPr>
        <w:t xml:space="preserve">that was </w:t>
      </w:r>
      <w:r w:rsidRPr="00CF4540">
        <w:rPr>
          <w:lang w:eastAsia="zh-HK"/>
        </w:rPr>
        <w:t xml:space="preserve">prepared by the Secretariat, </w:t>
      </w:r>
      <w:r>
        <w:rPr>
          <w:lang w:eastAsia="zh-HK"/>
        </w:rPr>
        <w:t>Egypt</w:t>
      </w:r>
      <w:r w:rsidRPr="00CF4540">
        <w:rPr>
          <w:lang w:eastAsia="zh-HK"/>
        </w:rPr>
        <w:t xml:space="preserve"> noted </w:t>
      </w:r>
      <w:r>
        <w:rPr>
          <w:lang w:eastAsia="zh-HK"/>
        </w:rPr>
        <w:t xml:space="preserve">some errors and </w:t>
      </w:r>
      <w:r w:rsidRPr="00CF4540">
        <w:rPr>
          <w:lang w:eastAsia="zh-HK"/>
        </w:rPr>
        <w:t xml:space="preserve">inconsistencies </w:t>
      </w:r>
      <w:r>
        <w:rPr>
          <w:lang w:eastAsia="zh-HK"/>
        </w:rPr>
        <w:t xml:space="preserve">that resulted from the introduction of </w:t>
      </w:r>
      <w:proofErr w:type="spellStart"/>
      <w:r>
        <w:rPr>
          <w:lang w:eastAsia="zh-HK"/>
        </w:rPr>
        <w:t>ITA</w:t>
      </w:r>
      <w:proofErr w:type="spellEnd"/>
      <w:r>
        <w:rPr>
          <w:lang w:eastAsia="zh-HK"/>
        </w:rPr>
        <w:t xml:space="preserve"> commitments in its schedule and which were certified in the HS2007 transposition in document </w:t>
      </w:r>
      <w:r w:rsidRPr="00CF4540">
        <w:rPr>
          <w:lang w:eastAsia="zh-HK"/>
        </w:rPr>
        <w:t>WT/Let/</w:t>
      </w:r>
      <w:r>
        <w:rPr>
          <w:lang w:eastAsia="zh-HK"/>
        </w:rPr>
        <w:t xml:space="preserve">1038.  </w:t>
      </w:r>
      <w:r>
        <w:rPr>
          <w:szCs w:val="18"/>
          <w:lang w:val="en-US" w:eastAsia="zh-HK"/>
        </w:rPr>
        <w:t xml:space="preserve">Egypt </w:t>
      </w:r>
      <w:r>
        <w:rPr>
          <w:rFonts w:hint="eastAsia"/>
          <w:szCs w:val="18"/>
          <w:lang w:val="en-US" w:eastAsia="zh-HK"/>
        </w:rPr>
        <w:t>proposes to rectify the relevant discrepancies as follows</w:t>
      </w:r>
      <w:r>
        <w:rPr>
          <w:szCs w:val="18"/>
          <w:lang w:val="en-US"/>
        </w:rPr>
        <w:t>:</w:t>
      </w:r>
    </w:p>
    <w:p w:rsidR="00844A78" w:rsidRPr="00BF1CA8" w:rsidRDefault="00844A78" w:rsidP="00844A78">
      <w:pPr>
        <w:spacing w:after="180"/>
        <w:ind w:left="720" w:hanging="720"/>
        <w:rPr>
          <w:b/>
          <w:szCs w:val="18"/>
          <w:lang w:val="en-US" w:eastAsia="zh-TW"/>
        </w:rPr>
      </w:pPr>
      <w:r w:rsidRPr="00BF1CA8">
        <w:rPr>
          <w:b/>
          <w:szCs w:val="18"/>
          <w:lang w:val="en-US"/>
        </w:rPr>
        <w:t>(</w:t>
      </w:r>
      <w:proofErr w:type="spellStart"/>
      <w:r w:rsidRPr="00BF1CA8">
        <w:rPr>
          <w:b/>
          <w:szCs w:val="18"/>
          <w:lang w:val="en-US"/>
        </w:rPr>
        <w:t>i</w:t>
      </w:r>
      <w:proofErr w:type="spellEnd"/>
      <w:r w:rsidRPr="00BF1CA8">
        <w:rPr>
          <w:b/>
          <w:szCs w:val="18"/>
          <w:lang w:val="en-US"/>
        </w:rPr>
        <w:t>)</w:t>
      </w:r>
      <w:r w:rsidRPr="00BF1CA8">
        <w:rPr>
          <w:b/>
          <w:szCs w:val="18"/>
          <w:lang w:val="en-US"/>
        </w:rPr>
        <w:tab/>
      </w:r>
      <w:r w:rsidRPr="00BA30F2">
        <w:rPr>
          <w:b/>
          <w:lang w:eastAsia="zh-HK"/>
        </w:rPr>
        <w:t xml:space="preserve">Correcting the binding status to unbound for tariff line 84219100 in accordance with Egypt's </w:t>
      </w:r>
      <w:proofErr w:type="spellStart"/>
      <w:r w:rsidRPr="00BA30F2">
        <w:rPr>
          <w:b/>
          <w:lang w:eastAsia="zh-HK"/>
        </w:rPr>
        <w:t>ITA</w:t>
      </w:r>
      <w:proofErr w:type="spellEnd"/>
      <w:r w:rsidRPr="00BA30F2">
        <w:rPr>
          <w:b/>
          <w:lang w:eastAsia="zh-HK"/>
        </w:rPr>
        <w:t xml:space="preserve"> schedule WT/Let/459</w:t>
      </w:r>
    </w:p>
    <w:p w:rsidR="00844A78" w:rsidRDefault="00844A78" w:rsidP="00844A78">
      <w:pPr>
        <w:spacing w:after="180"/>
        <w:ind w:left="720"/>
        <w:rPr>
          <w:szCs w:val="18"/>
        </w:rPr>
      </w:pPr>
      <w:r>
        <w:rPr>
          <w:szCs w:val="18"/>
          <w:lang w:eastAsia="zh-TW"/>
        </w:rPr>
        <w:t>E</w:t>
      </w:r>
      <w:r w:rsidRPr="002743DF">
        <w:rPr>
          <w:szCs w:val="18"/>
          <w:lang w:eastAsia="zh-TW"/>
        </w:rPr>
        <w:t xml:space="preserve">gypt's </w:t>
      </w:r>
      <w:proofErr w:type="spellStart"/>
      <w:r w:rsidRPr="002743DF">
        <w:rPr>
          <w:szCs w:val="18"/>
          <w:lang w:eastAsia="zh-TW"/>
        </w:rPr>
        <w:t>ITA</w:t>
      </w:r>
      <w:proofErr w:type="spellEnd"/>
      <w:r w:rsidRPr="002743DF">
        <w:rPr>
          <w:szCs w:val="18"/>
          <w:lang w:eastAsia="zh-TW"/>
        </w:rPr>
        <w:t xml:space="preserve"> </w:t>
      </w:r>
      <w:r>
        <w:rPr>
          <w:szCs w:val="18"/>
          <w:lang w:eastAsia="zh-TW"/>
        </w:rPr>
        <w:t>concession</w:t>
      </w:r>
      <w:r w:rsidRPr="002743DF">
        <w:rPr>
          <w:szCs w:val="18"/>
          <w:lang w:eastAsia="zh-TW"/>
        </w:rPr>
        <w:t xml:space="preserve"> for </w:t>
      </w:r>
      <w:r>
        <w:rPr>
          <w:szCs w:val="18"/>
          <w:lang w:eastAsia="zh-TW"/>
        </w:rPr>
        <w:t xml:space="preserve">tariff line </w:t>
      </w:r>
      <w:r w:rsidRPr="002743DF">
        <w:rPr>
          <w:szCs w:val="18"/>
          <w:lang w:eastAsia="zh-TW"/>
        </w:rPr>
        <w:t xml:space="preserve">84219110 </w:t>
      </w:r>
      <w:r>
        <w:rPr>
          <w:szCs w:val="18"/>
          <w:lang w:eastAsia="zh-TW"/>
        </w:rPr>
        <w:t xml:space="preserve">in HS2002 </w:t>
      </w:r>
      <w:r w:rsidRPr="002743DF">
        <w:rPr>
          <w:szCs w:val="18"/>
          <w:lang w:eastAsia="zh-TW"/>
        </w:rPr>
        <w:t xml:space="preserve">was not </w:t>
      </w:r>
      <w:r>
        <w:rPr>
          <w:szCs w:val="18"/>
          <w:lang w:eastAsia="zh-TW"/>
        </w:rPr>
        <w:t xml:space="preserve">correctly </w:t>
      </w:r>
      <w:r w:rsidRPr="002743DF">
        <w:rPr>
          <w:szCs w:val="18"/>
          <w:lang w:eastAsia="zh-TW"/>
        </w:rPr>
        <w:t xml:space="preserve">reflected </w:t>
      </w:r>
      <w:r>
        <w:rPr>
          <w:szCs w:val="18"/>
          <w:lang w:eastAsia="zh-TW"/>
        </w:rPr>
        <w:t>in Egypt</w:t>
      </w:r>
      <w:r w:rsidRPr="00CF4871">
        <w:rPr>
          <w:szCs w:val="18"/>
          <w:lang w:eastAsia="zh-TW"/>
        </w:rPr>
        <w:t xml:space="preserve">'s </w:t>
      </w:r>
      <w:r>
        <w:rPr>
          <w:szCs w:val="18"/>
          <w:lang w:eastAsia="zh-TW"/>
        </w:rPr>
        <w:t>HS07 transposition, which was certified in</w:t>
      </w:r>
      <w:r w:rsidRPr="00CF4871">
        <w:rPr>
          <w:szCs w:val="18"/>
          <w:lang w:eastAsia="zh-TW"/>
        </w:rPr>
        <w:t xml:space="preserve"> WT/Let/</w:t>
      </w:r>
      <w:r>
        <w:rPr>
          <w:szCs w:val="18"/>
          <w:lang w:eastAsia="zh-TW"/>
        </w:rPr>
        <w:t>1038</w:t>
      </w:r>
      <w:r w:rsidRPr="002743DF">
        <w:rPr>
          <w:szCs w:val="18"/>
          <w:lang w:eastAsia="zh-TW"/>
        </w:rPr>
        <w:t xml:space="preserve">.  </w:t>
      </w:r>
      <w:r>
        <w:rPr>
          <w:szCs w:val="18"/>
          <w:lang w:eastAsia="zh-TW"/>
        </w:rPr>
        <w:t xml:space="preserve">The duty-free concession </w:t>
      </w:r>
      <w:r w:rsidRPr="002743DF">
        <w:rPr>
          <w:szCs w:val="18"/>
          <w:lang w:eastAsia="zh-TW"/>
        </w:rPr>
        <w:t xml:space="preserve">was </w:t>
      </w:r>
      <w:r>
        <w:rPr>
          <w:szCs w:val="18"/>
          <w:lang w:eastAsia="zh-TW"/>
        </w:rPr>
        <w:t xml:space="preserve">erroneously </w:t>
      </w:r>
      <w:r w:rsidRPr="002743DF">
        <w:rPr>
          <w:szCs w:val="18"/>
          <w:lang w:eastAsia="zh-TW"/>
        </w:rPr>
        <w:t xml:space="preserve">assigned to the entire </w:t>
      </w:r>
      <w:r>
        <w:rPr>
          <w:szCs w:val="18"/>
          <w:lang w:eastAsia="zh-TW"/>
        </w:rPr>
        <w:t xml:space="preserve">HS07 </w:t>
      </w:r>
      <w:r w:rsidRPr="002743DF">
        <w:rPr>
          <w:szCs w:val="18"/>
          <w:lang w:eastAsia="zh-TW"/>
        </w:rPr>
        <w:t>subheading 8421</w:t>
      </w:r>
      <w:r>
        <w:rPr>
          <w:szCs w:val="18"/>
          <w:lang w:eastAsia="zh-TW"/>
        </w:rPr>
        <w:t>.</w:t>
      </w:r>
      <w:r w:rsidRPr="002743DF">
        <w:rPr>
          <w:szCs w:val="18"/>
          <w:lang w:eastAsia="zh-TW"/>
        </w:rPr>
        <w:t>91</w:t>
      </w:r>
      <w:r>
        <w:rPr>
          <w:szCs w:val="18"/>
          <w:lang w:eastAsia="zh-TW"/>
        </w:rPr>
        <w:t xml:space="preserve">, while some of the products covered by that subheading are not covered by the </w:t>
      </w:r>
      <w:proofErr w:type="spellStart"/>
      <w:r>
        <w:rPr>
          <w:szCs w:val="18"/>
          <w:lang w:eastAsia="zh-TW"/>
        </w:rPr>
        <w:t>ITA</w:t>
      </w:r>
      <w:proofErr w:type="spellEnd"/>
      <w:r w:rsidRPr="002743DF">
        <w:rPr>
          <w:szCs w:val="18"/>
          <w:lang w:eastAsia="zh-TW"/>
        </w:rPr>
        <w:t>.  In the HS2007 transposition</w:t>
      </w:r>
      <w:r>
        <w:rPr>
          <w:szCs w:val="18"/>
          <w:lang w:eastAsia="zh-TW"/>
        </w:rPr>
        <w:t>,</w:t>
      </w:r>
      <w:r w:rsidRPr="002743DF">
        <w:rPr>
          <w:szCs w:val="18"/>
          <w:lang w:eastAsia="zh-TW"/>
        </w:rPr>
        <w:t xml:space="preserve"> this commitment is assigned to new HS07 code 848690</w:t>
      </w:r>
      <w:r>
        <w:rPr>
          <w:szCs w:val="18"/>
          <w:lang w:eastAsia="zh-TW"/>
        </w:rPr>
        <w:t>00</w:t>
      </w:r>
      <w:r w:rsidRPr="002743DF">
        <w:rPr>
          <w:szCs w:val="18"/>
          <w:lang w:eastAsia="zh-TW"/>
        </w:rPr>
        <w:t xml:space="preserve"> for Parts and accessories</w:t>
      </w:r>
      <w:r>
        <w:rPr>
          <w:szCs w:val="18"/>
          <w:lang w:eastAsia="zh-TW"/>
        </w:rPr>
        <w:t xml:space="preserve"> and not to </w:t>
      </w:r>
      <w:r w:rsidRPr="00AB7FEE">
        <w:rPr>
          <w:szCs w:val="18"/>
        </w:rPr>
        <w:t>842191</w:t>
      </w:r>
      <w:r>
        <w:rPr>
          <w:szCs w:val="18"/>
          <w:lang w:eastAsia="zh-TW"/>
        </w:rPr>
        <w:t>.  Therefore, t</w:t>
      </w:r>
      <w:r w:rsidRPr="00CF4871">
        <w:rPr>
          <w:szCs w:val="18"/>
          <w:lang w:eastAsia="zh-TW"/>
        </w:rPr>
        <w:t>he following c</w:t>
      </w:r>
      <w:r>
        <w:rPr>
          <w:szCs w:val="18"/>
          <w:lang w:eastAsia="zh-TW"/>
        </w:rPr>
        <w:t xml:space="preserve">orrection is required to reflect the original commitment as listed in Egypt's </w:t>
      </w:r>
      <w:proofErr w:type="spellStart"/>
      <w:r>
        <w:rPr>
          <w:szCs w:val="18"/>
          <w:lang w:eastAsia="zh-TW"/>
        </w:rPr>
        <w:t>ITA</w:t>
      </w:r>
      <w:proofErr w:type="spellEnd"/>
      <w:r>
        <w:rPr>
          <w:szCs w:val="18"/>
          <w:lang w:eastAsia="zh-TW"/>
        </w:rPr>
        <w:t xml:space="preserve"> schedule.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3760"/>
        <w:gridCol w:w="1395"/>
        <w:gridCol w:w="425"/>
        <w:gridCol w:w="1581"/>
        <w:gridCol w:w="3522"/>
        <w:gridCol w:w="1559"/>
      </w:tblGrid>
      <w:tr w:rsidR="00844A78" w:rsidRPr="00BE3FAA" w:rsidTr="007732C5">
        <w:trPr>
          <w:trHeight w:val="359"/>
        </w:trPr>
        <w:tc>
          <w:tcPr>
            <w:tcW w:w="666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WT/</w:t>
            </w:r>
            <w:r>
              <w:rPr>
                <w:b/>
                <w:szCs w:val="18"/>
              </w:rPr>
              <w:t>Let/1038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Rectification</w:t>
            </w:r>
          </w:p>
        </w:tc>
      </w:tr>
      <w:tr w:rsidR="00844A78" w:rsidRPr="00BE3FAA" w:rsidTr="007732C5">
        <w:trPr>
          <w:trHeight w:val="345"/>
        </w:trPr>
        <w:tc>
          <w:tcPr>
            <w:tcW w:w="1508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HS96 code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Product Description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 xml:space="preserve">Existing </w:t>
            </w:r>
            <w:r w:rsidRPr="00BE3FAA">
              <w:rPr>
                <w:b/>
                <w:szCs w:val="18"/>
                <w:lang w:eastAsia="zh-TW"/>
              </w:rPr>
              <w:t>Final</w:t>
            </w:r>
            <w:r w:rsidRPr="00BE3FAA">
              <w:rPr>
                <w:b/>
                <w:szCs w:val="18"/>
                <w:lang w:eastAsia="zh-TW"/>
              </w:rPr>
              <w:br/>
              <w:t>Bound Rate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HS96 code</w:t>
            </w:r>
          </w:p>
        </w:tc>
        <w:tc>
          <w:tcPr>
            <w:tcW w:w="3522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Product Description</w:t>
            </w:r>
          </w:p>
        </w:tc>
        <w:tc>
          <w:tcPr>
            <w:tcW w:w="1559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Final</w:t>
            </w:r>
          </w:p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>Bound Rate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AB7FEE">
              <w:rPr>
                <w:szCs w:val="18"/>
              </w:rPr>
              <w:t>84219100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AB7FEE">
              <w:rPr>
                <w:szCs w:val="18"/>
              </w:rPr>
              <w:t>- Parts and accessories</w:t>
            </w:r>
          </w:p>
        </w:tc>
        <w:tc>
          <w:tcPr>
            <w:tcW w:w="13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AB7FEE">
              <w:rPr>
                <w:szCs w:val="18"/>
              </w:rPr>
              <w:t>84219100</w:t>
            </w:r>
          </w:p>
        </w:tc>
        <w:tc>
          <w:tcPr>
            <w:tcW w:w="3522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AB7FEE">
              <w:rPr>
                <w:szCs w:val="18"/>
              </w:rPr>
              <w:t>- Parts and accessories</w:t>
            </w:r>
          </w:p>
        </w:tc>
        <w:tc>
          <w:tcPr>
            <w:tcW w:w="1559" w:type="dxa"/>
          </w:tcPr>
          <w:p w:rsidR="00844A78" w:rsidRPr="002743DF" w:rsidRDefault="00844A78" w:rsidP="007732C5">
            <w:pPr>
              <w:jc w:val="center"/>
              <w:rPr>
                <w:b/>
                <w:szCs w:val="18"/>
              </w:rPr>
            </w:pPr>
            <w:r w:rsidRPr="002743DF">
              <w:rPr>
                <w:b/>
                <w:szCs w:val="18"/>
              </w:rPr>
              <w:t>Unbound</w:t>
            </w:r>
          </w:p>
        </w:tc>
      </w:tr>
    </w:tbl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</w:p>
    <w:p w:rsidR="00844A78" w:rsidRPr="00BF1CA8" w:rsidRDefault="00844A78" w:rsidP="00844A78">
      <w:pPr>
        <w:spacing w:after="180"/>
        <w:ind w:left="720" w:hanging="720"/>
        <w:rPr>
          <w:b/>
          <w:szCs w:val="18"/>
          <w:lang w:val="en-US" w:eastAsia="zh-TW"/>
        </w:rPr>
      </w:pPr>
      <w:r>
        <w:rPr>
          <w:b/>
          <w:szCs w:val="18"/>
          <w:lang w:val="en-US"/>
        </w:rPr>
        <w:br w:type="page"/>
      </w:r>
      <w:r w:rsidRPr="00BF1CA8">
        <w:rPr>
          <w:b/>
          <w:szCs w:val="18"/>
          <w:lang w:val="en-US"/>
        </w:rPr>
        <w:lastRenderedPageBreak/>
        <w:t>(i</w:t>
      </w:r>
      <w:r>
        <w:rPr>
          <w:b/>
          <w:szCs w:val="18"/>
          <w:lang w:val="en-US"/>
        </w:rPr>
        <w:t>i</w:t>
      </w:r>
      <w:r w:rsidRPr="00BF1CA8">
        <w:rPr>
          <w:b/>
          <w:szCs w:val="18"/>
          <w:lang w:val="en-US"/>
        </w:rPr>
        <w:t>)</w:t>
      </w:r>
      <w:r w:rsidRPr="00BF1CA8">
        <w:rPr>
          <w:b/>
          <w:szCs w:val="18"/>
          <w:lang w:val="en-US"/>
        </w:rPr>
        <w:tab/>
      </w:r>
      <w:r w:rsidRPr="00085D7D">
        <w:rPr>
          <w:b/>
          <w:lang w:val="en-US" w:eastAsia="zh-HK"/>
        </w:rPr>
        <w:t xml:space="preserve">Introducing breakouts for tariff line 85299090 to reflect the unbound part in accordance with Egypt's </w:t>
      </w:r>
      <w:proofErr w:type="spellStart"/>
      <w:r w:rsidRPr="00085D7D">
        <w:rPr>
          <w:b/>
          <w:lang w:val="en-US" w:eastAsia="zh-HK"/>
        </w:rPr>
        <w:t>ITA</w:t>
      </w:r>
      <w:proofErr w:type="spellEnd"/>
      <w:r w:rsidRPr="00085D7D">
        <w:rPr>
          <w:b/>
          <w:lang w:val="en-US" w:eastAsia="zh-HK"/>
        </w:rPr>
        <w:t xml:space="preserve"> schedule WT/Let/459</w:t>
      </w:r>
    </w:p>
    <w:p w:rsidR="00844A78" w:rsidRDefault="00844A78" w:rsidP="00844A78">
      <w:pPr>
        <w:spacing w:after="180"/>
        <w:ind w:left="720"/>
        <w:rPr>
          <w:szCs w:val="18"/>
        </w:rPr>
      </w:pPr>
      <w:r>
        <w:rPr>
          <w:szCs w:val="18"/>
          <w:lang w:eastAsia="zh-TW"/>
        </w:rPr>
        <w:t>E</w:t>
      </w:r>
      <w:r w:rsidRPr="002743DF">
        <w:rPr>
          <w:szCs w:val="18"/>
          <w:lang w:eastAsia="zh-TW"/>
        </w:rPr>
        <w:t xml:space="preserve">gypt's </w:t>
      </w:r>
      <w:proofErr w:type="spellStart"/>
      <w:r w:rsidRPr="002743DF">
        <w:rPr>
          <w:szCs w:val="18"/>
          <w:lang w:eastAsia="zh-TW"/>
        </w:rPr>
        <w:t>ITA</w:t>
      </w:r>
      <w:proofErr w:type="spellEnd"/>
      <w:r w:rsidRPr="002743DF">
        <w:rPr>
          <w:szCs w:val="18"/>
          <w:lang w:eastAsia="zh-TW"/>
        </w:rPr>
        <w:t xml:space="preserve"> </w:t>
      </w:r>
      <w:r>
        <w:rPr>
          <w:szCs w:val="18"/>
          <w:lang w:eastAsia="zh-TW"/>
        </w:rPr>
        <w:t>concessions</w:t>
      </w:r>
      <w:r w:rsidRPr="002743DF">
        <w:rPr>
          <w:szCs w:val="18"/>
          <w:lang w:eastAsia="zh-TW"/>
        </w:rPr>
        <w:t xml:space="preserve"> for </w:t>
      </w:r>
      <w:r>
        <w:rPr>
          <w:szCs w:val="18"/>
          <w:lang w:eastAsia="zh-TW"/>
        </w:rPr>
        <w:t xml:space="preserve">tariff line </w:t>
      </w:r>
      <w:r w:rsidRPr="002743DF">
        <w:rPr>
          <w:szCs w:val="18"/>
          <w:lang w:eastAsia="zh-TW"/>
        </w:rPr>
        <w:t xml:space="preserve">85299030 </w:t>
      </w:r>
      <w:r>
        <w:rPr>
          <w:szCs w:val="18"/>
          <w:lang w:eastAsia="zh-TW"/>
        </w:rPr>
        <w:t xml:space="preserve">in HS2002 </w:t>
      </w:r>
      <w:r w:rsidRPr="002743DF">
        <w:rPr>
          <w:szCs w:val="18"/>
          <w:lang w:eastAsia="zh-TW"/>
        </w:rPr>
        <w:t xml:space="preserve">was not </w:t>
      </w:r>
      <w:r>
        <w:rPr>
          <w:szCs w:val="18"/>
          <w:lang w:eastAsia="zh-TW"/>
        </w:rPr>
        <w:t xml:space="preserve">correctly </w:t>
      </w:r>
      <w:r w:rsidRPr="002743DF">
        <w:rPr>
          <w:szCs w:val="18"/>
          <w:lang w:eastAsia="zh-TW"/>
        </w:rPr>
        <w:t xml:space="preserve">reflected </w:t>
      </w:r>
      <w:r>
        <w:rPr>
          <w:szCs w:val="18"/>
          <w:lang w:eastAsia="zh-TW"/>
        </w:rPr>
        <w:t>in Egypt</w:t>
      </w:r>
      <w:r w:rsidRPr="00CF4871">
        <w:rPr>
          <w:szCs w:val="18"/>
          <w:lang w:eastAsia="zh-TW"/>
        </w:rPr>
        <w:t xml:space="preserve">'s </w:t>
      </w:r>
      <w:r>
        <w:rPr>
          <w:szCs w:val="18"/>
          <w:lang w:eastAsia="zh-TW"/>
        </w:rPr>
        <w:t>HS07 transposition, which was certified in</w:t>
      </w:r>
      <w:r w:rsidRPr="00CF4871">
        <w:rPr>
          <w:szCs w:val="18"/>
          <w:lang w:eastAsia="zh-TW"/>
        </w:rPr>
        <w:t xml:space="preserve"> WT/Let/</w:t>
      </w:r>
      <w:r>
        <w:rPr>
          <w:szCs w:val="18"/>
          <w:lang w:eastAsia="zh-TW"/>
        </w:rPr>
        <w:t>1038</w:t>
      </w:r>
      <w:r w:rsidRPr="002743DF">
        <w:rPr>
          <w:szCs w:val="18"/>
          <w:lang w:eastAsia="zh-TW"/>
        </w:rPr>
        <w:t>.  In the HS2007 transposition</w:t>
      </w:r>
      <w:r>
        <w:rPr>
          <w:szCs w:val="18"/>
          <w:lang w:eastAsia="zh-TW"/>
        </w:rPr>
        <w:t>,</w:t>
      </w:r>
      <w:r w:rsidRPr="002743DF">
        <w:rPr>
          <w:szCs w:val="18"/>
          <w:lang w:eastAsia="zh-TW"/>
        </w:rPr>
        <w:t xml:space="preserve"> this </w:t>
      </w:r>
      <w:r>
        <w:rPr>
          <w:szCs w:val="18"/>
          <w:lang w:eastAsia="zh-TW"/>
        </w:rPr>
        <w:t>concession was</w:t>
      </w:r>
      <w:r w:rsidRPr="002743DF">
        <w:rPr>
          <w:szCs w:val="18"/>
          <w:lang w:eastAsia="zh-TW"/>
        </w:rPr>
        <w:t xml:space="preserve"> </w:t>
      </w:r>
      <w:r w:rsidRPr="00C91D47">
        <w:rPr>
          <w:szCs w:val="18"/>
          <w:lang w:eastAsia="zh-TW"/>
        </w:rPr>
        <w:t>partly ass</w:t>
      </w:r>
      <w:r>
        <w:rPr>
          <w:szCs w:val="18"/>
          <w:lang w:eastAsia="zh-TW"/>
        </w:rPr>
        <w:t>igned to a new HS07 code 85177000 and</w:t>
      </w:r>
      <w:r w:rsidRPr="00C91D47">
        <w:rPr>
          <w:szCs w:val="18"/>
          <w:lang w:eastAsia="zh-TW"/>
        </w:rPr>
        <w:t xml:space="preserve"> 85299090</w:t>
      </w:r>
      <w:r>
        <w:rPr>
          <w:szCs w:val="18"/>
          <w:lang w:eastAsia="zh-TW"/>
        </w:rPr>
        <w:t>,</w:t>
      </w:r>
      <w:r w:rsidRPr="00C91D47">
        <w:rPr>
          <w:szCs w:val="18"/>
          <w:lang w:eastAsia="zh-TW"/>
        </w:rPr>
        <w:t xml:space="preserve"> </w:t>
      </w:r>
      <w:r>
        <w:rPr>
          <w:szCs w:val="18"/>
          <w:lang w:eastAsia="zh-TW"/>
        </w:rPr>
        <w:t xml:space="preserve">and the latter </w:t>
      </w:r>
      <w:r w:rsidRPr="00C91D47">
        <w:rPr>
          <w:szCs w:val="18"/>
          <w:lang w:eastAsia="zh-TW"/>
        </w:rPr>
        <w:t xml:space="preserve">should </w:t>
      </w:r>
      <w:r>
        <w:rPr>
          <w:szCs w:val="18"/>
          <w:lang w:eastAsia="zh-TW"/>
        </w:rPr>
        <w:t xml:space="preserve">have </w:t>
      </w:r>
      <w:r w:rsidRPr="00C91D47">
        <w:rPr>
          <w:szCs w:val="18"/>
          <w:lang w:eastAsia="zh-TW"/>
        </w:rPr>
        <w:t>include</w:t>
      </w:r>
      <w:r>
        <w:rPr>
          <w:szCs w:val="18"/>
          <w:lang w:eastAsia="zh-TW"/>
        </w:rPr>
        <w:t>d</w:t>
      </w:r>
      <w:r w:rsidRPr="00C91D47">
        <w:rPr>
          <w:szCs w:val="18"/>
          <w:lang w:eastAsia="zh-TW"/>
        </w:rPr>
        <w:t xml:space="preserve"> </w:t>
      </w:r>
      <w:r>
        <w:rPr>
          <w:szCs w:val="18"/>
          <w:lang w:eastAsia="zh-TW"/>
        </w:rPr>
        <w:t>an ex-out to provide for this unbound tariff line.</w:t>
      </w:r>
      <w:r w:rsidRPr="00C91D47">
        <w:rPr>
          <w:szCs w:val="18"/>
          <w:lang w:eastAsia="zh-TW"/>
        </w:rPr>
        <w:t xml:space="preserve"> </w:t>
      </w:r>
      <w:r>
        <w:rPr>
          <w:szCs w:val="18"/>
          <w:lang w:eastAsia="zh-TW"/>
        </w:rPr>
        <w:t>T</w:t>
      </w:r>
      <w:r w:rsidRPr="00CF4871">
        <w:rPr>
          <w:szCs w:val="18"/>
          <w:lang w:eastAsia="zh-TW"/>
        </w:rPr>
        <w:t>he following c</w:t>
      </w:r>
      <w:r>
        <w:rPr>
          <w:szCs w:val="18"/>
          <w:lang w:eastAsia="zh-TW"/>
        </w:rPr>
        <w:t xml:space="preserve">orrection is required to reflect the original commitment as listed in Egypt's </w:t>
      </w:r>
      <w:proofErr w:type="spellStart"/>
      <w:r>
        <w:rPr>
          <w:szCs w:val="18"/>
          <w:lang w:eastAsia="zh-TW"/>
        </w:rPr>
        <w:t>ITA</w:t>
      </w:r>
      <w:proofErr w:type="spellEnd"/>
      <w:r>
        <w:rPr>
          <w:szCs w:val="18"/>
          <w:lang w:eastAsia="zh-TW"/>
        </w:rPr>
        <w:t xml:space="preserve"> schedule.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3760"/>
        <w:gridCol w:w="1395"/>
        <w:gridCol w:w="425"/>
        <w:gridCol w:w="1984"/>
        <w:gridCol w:w="3119"/>
        <w:gridCol w:w="1559"/>
      </w:tblGrid>
      <w:tr w:rsidR="00844A78" w:rsidRPr="00BE3FAA" w:rsidTr="007732C5">
        <w:trPr>
          <w:trHeight w:val="359"/>
        </w:trPr>
        <w:tc>
          <w:tcPr>
            <w:tcW w:w="666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WT/</w:t>
            </w:r>
            <w:r>
              <w:rPr>
                <w:b/>
                <w:szCs w:val="18"/>
              </w:rPr>
              <w:t>Let/1038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Rectification</w:t>
            </w:r>
          </w:p>
        </w:tc>
      </w:tr>
      <w:tr w:rsidR="00844A78" w:rsidRPr="00BE3FAA" w:rsidTr="007732C5">
        <w:trPr>
          <w:trHeight w:val="345"/>
        </w:trPr>
        <w:tc>
          <w:tcPr>
            <w:tcW w:w="1508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HS96 code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Product Description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 xml:space="preserve">Existing </w:t>
            </w:r>
            <w:r w:rsidRPr="00BE3FAA">
              <w:rPr>
                <w:b/>
                <w:szCs w:val="18"/>
                <w:lang w:eastAsia="zh-TW"/>
              </w:rPr>
              <w:t>Final</w:t>
            </w:r>
            <w:r w:rsidRPr="00BE3FAA">
              <w:rPr>
                <w:b/>
                <w:szCs w:val="18"/>
                <w:lang w:eastAsia="zh-TW"/>
              </w:rPr>
              <w:br/>
              <w:t>Bound Rate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HS96 code</w:t>
            </w:r>
          </w:p>
        </w:tc>
        <w:tc>
          <w:tcPr>
            <w:tcW w:w="3119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Product Description</w:t>
            </w:r>
          </w:p>
        </w:tc>
        <w:tc>
          <w:tcPr>
            <w:tcW w:w="1559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Final</w:t>
            </w:r>
          </w:p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>Bound Rate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C91D47">
              <w:rPr>
                <w:szCs w:val="18"/>
              </w:rPr>
              <w:t>85299090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C91D47">
              <w:rPr>
                <w:szCs w:val="18"/>
              </w:rPr>
              <w:t>- - Other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C91D47">
              <w:rPr>
                <w:szCs w:val="18"/>
              </w:rPr>
              <w:t>85299090</w:t>
            </w:r>
          </w:p>
        </w:tc>
        <w:tc>
          <w:tcPr>
            <w:tcW w:w="3119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C91D47">
              <w:rPr>
                <w:szCs w:val="18"/>
              </w:rPr>
              <w:t>- - Other</w:t>
            </w:r>
          </w:p>
        </w:tc>
        <w:tc>
          <w:tcPr>
            <w:tcW w:w="1559" w:type="dxa"/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3760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Default="00844A78" w:rsidP="007732C5">
            <w:pPr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C91D47" w:rsidRDefault="00844A78" w:rsidP="007732C5">
            <w:pPr>
              <w:rPr>
                <w:b/>
              </w:rPr>
            </w:pPr>
            <w:r w:rsidRPr="00C91D47">
              <w:rPr>
                <w:b/>
                <w:szCs w:val="18"/>
              </w:rPr>
              <w:t>85299090</w:t>
            </w:r>
            <w:r>
              <w:rPr>
                <w:b/>
                <w:szCs w:val="18"/>
              </w:rPr>
              <w:t xml:space="preserve"> ex01</w:t>
            </w:r>
          </w:p>
        </w:tc>
        <w:tc>
          <w:tcPr>
            <w:tcW w:w="3119" w:type="dxa"/>
          </w:tcPr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>--- Parts of: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>     transmission apparatus other than apparatus for radio-broadcasting or television;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transmission apparatus incorporating reception apparatus;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digital still image video cameras;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portable receivers for calling , alerting or paging.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</w:tcPr>
          <w:p w:rsidR="00844A78" w:rsidRPr="00C91D47" w:rsidRDefault="00844A78" w:rsidP="007732C5">
            <w:pPr>
              <w:jc w:val="center"/>
              <w:rPr>
                <w:b/>
                <w:szCs w:val="18"/>
              </w:rPr>
            </w:pPr>
            <w:r w:rsidRPr="00C91D47">
              <w:rPr>
                <w:b/>
                <w:szCs w:val="18"/>
              </w:rPr>
              <w:t>0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3760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44A78" w:rsidRDefault="00844A78" w:rsidP="007732C5">
            <w:pPr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44A78" w:rsidRPr="00C91D47" w:rsidRDefault="00844A78" w:rsidP="007732C5">
            <w:pPr>
              <w:rPr>
                <w:b/>
              </w:rPr>
            </w:pPr>
            <w:r w:rsidRPr="00C91D47">
              <w:rPr>
                <w:b/>
                <w:szCs w:val="18"/>
              </w:rPr>
              <w:t>85299090</w:t>
            </w:r>
            <w:r>
              <w:rPr>
                <w:b/>
                <w:szCs w:val="18"/>
              </w:rPr>
              <w:t xml:space="preserve"> ex02 </w:t>
            </w:r>
          </w:p>
        </w:tc>
        <w:tc>
          <w:tcPr>
            <w:tcW w:w="3119" w:type="dxa"/>
          </w:tcPr>
          <w:p w:rsidR="00844A78" w:rsidRPr="00C91D47" w:rsidRDefault="00844A78" w:rsidP="007732C5">
            <w:pPr>
              <w:jc w:val="left"/>
              <w:rPr>
                <w:b/>
                <w:szCs w:val="18"/>
              </w:rPr>
            </w:pPr>
            <w:r w:rsidRPr="00C91D47">
              <w:rPr>
                <w:b/>
                <w:szCs w:val="18"/>
              </w:rPr>
              <w:t>- - - Other</w:t>
            </w:r>
          </w:p>
        </w:tc>
        <w:tc>
          <w:tcPr>
            <w:tcW w:w="1559" w:type="dxa"/>
          </w:tcPr>
          <w:p w:rsidR="00844A78" w:rsidRPr="00C91D47" w:rsidRDefault="00844A78" w:rsidP="007732C5">
            <w:pPr>
              <w:jc w:val="center"/>
              <w:rPr>
                <w:b/>
                <w:szCs w:val="18"/>
              </w:rPr>
            </w:pPr>
            <w:r w:rsidRPr="00C91D47">
              <w:rPr>
                <w:b/>
                <w:szCs w:val="18"/>
              </w:rPr>
              <w:t>Unbound</w:t>
            </w:r>
          </w:p>
        </w:tc>
      </w:tr>
    </w:tbl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</w:p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</w:p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</w:p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</w:p>
    <w:p w:rsidR="00844A78" w:rsidRPr="00BF1CA8" w:rsidRDefault="00844A78" w:rsidP="00844A78">
      <w:pPr>
        <w:spacing w:after="180"/>
        <w:ind w:left="720" w:hanging="720"/>
        <w:rPr>
          <w:b/>
          <w:szCs w:val="18"/>
          <w:lang w:val="en-US" w:eastAsia="zh-TW"/>
        </w:rPr>
      </w:pPr>
      <w:r>
        <w:rPr>
          <w:b/>
          <w:szCs w:val="18"/>
          <w:lang w:val="en-US"/>
        </w:rPr>
        <w:br w:type="page"/>
      </w:r>
      <w:r w:rsidRPr="00BF1CA8">
        <w:rPr>
          <w:b/>
          <w:szCs w:val="18"/>
          <w:lang w:val="en-US"/>
        </w:rPr>
        <w:lastRenderedPageBreak/>
        <w:t>(i</w:t>
      </w:r>
      <w:r>
        <w:rPr>
          <w:b/>
          <w:szCs w:val="18"/>
          <w:lang w:val="en-US"/>
        </w:rPr>
        <w:t>ii</w:t>
      </w:r>
      <w:r w:rsidRPr="00BF1CA8">
        <w:rPr>
          <w:b/>
          <w:szCs w:val="18"/>
          <w:lang w:val="en-US"/>
        </w:rPr>
        <w:t>)</w:t>
      </w:r>
      <w:r>
        <w:rPr>
          <w:b/>
          <w:szCs w:val="18"/>
          <w:lang w:val="en-US"/>
        </w:rPr>
        <w:tab/>
      </w:r>
      <w:r>
        <w:rPr>
          <w:b/>
          <w:lang w:val="en-US" w:eastAsia="zh-HK"/>
        </w:rPr>
        <w:t>In</w:t>
      </w:r>
      <w:proofErr w:type="spellStart"/>
      <w:r w:rsidRPr="00D9158B">
        <w:rPr>
          <w:b/>
          <w:lang w:eastAsia="zh-HK"/>
        </w:rPr>
        <w:t>troducing</w:t>
      </w:r>
      <w:proofErr w:type="spellEnd"/>
      <w:r w:rsidRPr="00D9158B">
        <w:rPr>
          <w:b/>
          <w:lang w:eastAsia="zh-HK"/>
        </w:rPr>
        <w:t xml:space="preserve"> breakouts for tariff line 90319000 to reflect the </w:t>
      </w:r>
      <w:proofErr w:type="spellStart"/>
      <w:r w:rsidRPr="00D9158B">
        <w:rPr>
          <w:b/>
          <w:lang w:eastAsia="zh-HK"/>
        </w:rPr>
        <w:t>ITA</w:t>
      </w:r>
      <w:proofErr w:type="spellEnd"/>
      <w:r w:rsidRPr="00D9158B">
        <w:rPr>
          <w:b/>
          <w:lang w:eastAsia="zh-HK"/>
        </w:rPr>
        <w:t xml:space="preserve"> parts under 90319010 and 90319020 and the unbound part under 90319090 in accordance with Egypt's </w:t>
      </w:r>
      <w:proofErr w:type="spellStart"/>
      <w:r w:rsidRPr="00D9158B">
        <w:rPr>
          <w:b/>
          <w:lang w:eastAsia="zh-HK"/>
        </w:rPr>
        <w:t>ITA</w:t>
      </w:r>
      <w:proofErr w:type="spellEnd"/>
      <w:r w:rsidRPr="00D9158B">
        <w:rPr>
          <w:b/>
          <w:lang w:eastAsia="zh-HK"/>
        </w:rPr>
        <w:t xml:space="preserve"> schedule WT/Let/459</w:t>
      </w:r>
    </w:p>
    <w:p w:rsidR="00844A78" w:rsidRDefault="00844A78" w:rsidP="00844A78">
      <w:pPr>
        <w:spacing w:after="180"/>
        <w:ind w:left="720"/>
        <w:rPr>
          <w:szCs w:val="18"/>
        </w:rPr>
      </w:pPr>
      <w:r w:rsidRPr="00D9158B">
        <w:rPr>
          <w:szCs w:val="18"/>
          <w:lang w:eastAsia="zh-TW"/>
        </w:rPr>
        <w:t xml:space="preserve">Egypt's </w:t>
      </w:r>
      <w:proofErr w:type="spellStart"/>
      <w:r w:rsidRPr="00D9158B">
        <w:rPr>
          <w:szCs w:val="18"/>
          <w:lang w:eastAsia="zh-TW"/>
        </w:rPr>
        <w:t>ITA</w:t>
      </w:r>
      <w:proofErr w:type="spellEnd"/>
      <w:r w:rsidRPr="00D9158B">
        <w:rPr>
          <w:szCs w:val="18"/>
          <w:lang w:eastAsia="zh-TW"/>
        </w:rPr>
        <w:t xml:space="preserve"> </w:t>
      </w:r>
      <w:r>
        <w:rPr>
          <w:szCs w:val="18"/>
          <w:lang w:eastAsia="zh-TW"/>
        </w:rPr>
        <w:t>concessions</w:t>
      </w:r>
      <w:r w:rsidRPr="00D9158B">
        <w:rPr>
          <w:szCs w:val="18"/>
          <w:lang w:eastAsia="zh-TW"/>
        </w:rPr>
        <w:t xml:space="preserve"> for 90319010 and 90319020 </w:t>
      </w:r>
      <w:r>
        <w:rPr>
          <w:szCs w:val="18"/>
          <w:lang w:eastAsia="zh-TW"/>
        </w:rPr>
        <w:t xml:space="preserve">in HS2002 </w:t>
      </w:r>
      <w:r w:rsidRPr="00D9158B">
        <w:rPr>
          <w:szCs w:val="18"/>
          <w:lang w:eastAsia="zh-TW"/>
        </w:rPr>
        <w:t xml:space="preserve">were not correctly reflected in Egypt's </w:t>
      </w:r>
      <w:r>
        <w:rPr>
          <w:szCs w:val="18"/>
          <w:lang w:eastAsia="zh-TW"/>
        </w:rPr>
        <w:t>HS07 transposition, which was certified in</w:t>
      </w:r>
      <w:r w:rsidRPr="00CF4871">
        <w:rPr>
          <w:szCs w:val="18"/>
          <w:lang w:eastAsia="zh-TW"/>
        </w:rPr>
        <w:t xml:space="preserve"> WT/Let/</w:t>
      </w:r>
      <w:r>
        <w:rPr>
          <w:szCs w:val="18"/>
          <w:lang w:eastAsia="zh-TW"/>
        </w:rPr>
        <w:t>1038</w:t>
      </w:r>
      <w:r w:rsidRPr="002743DF">
        <w:rPr>
          <w:szCs w:val="18"/>
          <w:lang w:eastAsia="zh-TW"/>
        </w:rPr>
        <w:t>.</w:t>
      </w:r>
      <w:r>
        <w:rPr>
          <w:szCs w:val="18"/>
          <w:lang w:eastAsia="zh-TW"/>
        </w:rPr>
        <w:t xml:space="preserve"> </w:t>
      </w:r>
      <w:r w:rsidRPr="00D9158B">
        <w:rPr>
          <w:szCs w:val="18"/>
          <w:lang w:eastAsia="zh-TW"/>
        </w:rPr>
        <w:t>The</w:t>
      </w:r>
      <w:r>
        <w:rPr>
          <w:szCs w:val="18"/>
          <w:lang w:eastAsia="zh-TW"/>
        </w:rPr>
        <w:t xml:space="preserve"> duty-free concessions</w:t>
      </w:r>
      <w:r w:rsidRPr="00D9158B">
        <w:rPr>
          <w:szCs w:val="18"/>
          <w:lang w:eastAsia="zh-TW"/>
        </w:rPr>
        <w:t xml:space="preserve"> were </w:t>
      </w:r>
      <w:r>
        <w:rPr>
          <w:szCs w:val="18"/>
          <w:lang w:eastAsia="zh-TW"/>
        </w:rPr>
        <w:t xml:space="preserve">erroneously </w:t>
      </w:r>
      <w:r w:rsidRPr="00D9158B">
        <w:rPr>
          <w:szCs w:val="18"/>
          <w:lang w:eastAsia="zh-TW"/>
        </w:rPr>
        <w:t>assigned to the entire subheading 9031</w:t>
      </w:r>
      <w:r>
        <w:rPr>
          <w:szCs w:val="18"/>
          <w:lang w:eastAsia="zh-TW"/>
        </w:rPr>
        <w:t>.</w:t>
      </w:r>
      <w:r w:rsidRPr="00D9158B">
        <w:rPr>
          <w:szCs w:val="18"/>
          <w:lang w:eastAsia="zh-TW"/>
        </w:rPr>
        <w:t>90</w:t>
      </w:r>
      <w:r>
        <w:rPr>
          <w:szCs w:val="18"/>
          <w:lang w:eastAsia="zh-TW"/>
        </w:rPr>
        <w:t>, which was</w:t>
      </w:r>
      <w:r w:rsidRPr="00D9158B">
        <w:rPr>
          <w:szCs w:val="18"/>
          <w:lang w:eastAsia="zh-TW"/>
        </w:rPr>
        <w:t xml:space="preserve"> not affected by any transpositions. The HS07 </w:t>
      </w:r>
      <w:r>
        <w:rPr>
          <w:szCs w:val="18"/>
          <w:lang w:eastAsia="zh-TW"/>
        </w:rPr>
        <w:t>tariff line</w:t>
      </w:r>
      <w:r w:rsidRPr="00D9158B">
        <w:rPr>
          <w:szCs w:val="18"/>
          <w:lang w:eastAsia="zh-TW"/>
        </w:rPr>
        <w:t xml:space="preserve"> 90319000 should therefore be broken down into three </w:t>
      </w:r>
      <w:r>
        <w:rPr>
          <w:szCs w:val="18"/>
          <w:lang w:eastAsia="zh-TW"/>
        </w:rPr>
        <w:t>tariff lines as follows:</w:t>
      </w:r>
      <w:r w:rsidRPr="00D9158B">
        <w:rPr>
          <w:szCs w:val="18"/>
          <w:lang w:eastAsia="zh-TW"/>
        </w:rPr>
        <w:t xml:space="preserve"> </w:t>
      </w:r>
      <w:r w:rsidRPr="00D9158B">
        <w:rPr>
          <w:lang w:eastAsia="zh-HK"/>
        </w:rPr>
        <w:t xml:space="preserve">90319010 and 90319020 </w:t>
      </w:r>
      <w:r w:rsidRPr="00D9158B">
        <w:rPr>
          <w:szCs w:val="18"/>
          <w:lang w:eastAsia="zh-TW"/>
        </w:rPr>
        <w:t xml:space="preserve">bound at 0%, </w:t>
      </w:r>
      <w:r w:rsidRPr="00D9158B">
        <w:rPr>
          <w:lang w:eastAsia="zh-HK"/>
        </w:rPr>
        <w:t>90319090</w:t>
      </w:r>
      <w:r>
        <w:rPr>
          <w:szCs w:val="18"/>
          <w:lang w:eastAsia="zh-TW"/>
        </w:rPr>
        <w:t xml:space="preserve"> unbound. T</w:t>
      </w:r>
      <w:r w:rsidRPr="00CF4871">
        <w:rPr>
          <w:szCs w:val="18"/>
          <w:lang w:eastAsia="zh-TW"/>
        </w:rPr>
        <w:t>he following c</w:t>
      </w:r>
      <w:r>
        <w:rPr>
          <w:szCs w:val="18"/>
          <w:lang w:eastAsia="zh-TW"/>
        </w:rPr>
        <w:t xml:space="preserve">orrection is required to reflect the original commitments as listed in Egypt's </w:t>
      </w:r>
      <w:proofErr w:type="spellStart"/>
      <w:r>
        <w:rPr>
          <w:szCs w:val="18"/>
          <w:lang w:eastAsia="zh-TW"/>
        </w:rPr>
        <w:t>ITA</w:t>
      </w:r>
      <w:proofErr w:type="spellEnd"/>
      <w:r>
        <w:rPr>
          <w:szCs w:val="18"/>
          <w:lang w:eastAsia="zh-TW"/>
        </w:rPr>
        <w:t xml:space="preserve"> schedule.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3760"/>
        <w:gridCol w:w="1395"/>
        <w:gridCol w:w="425"/>
        <w:gridCol w:w="1581"/>
        <w:gridCol w:w="3522"/>
        <w:gridCol w:w="1559"/>
      </w:tblGrid>
      <w:tr w:rsidR="00844A78" w:rsidRPr="00BE3FAA" w:rsidTr="007732C5">
        <w:trPr>
          <w:trHeight w:val="359"/>
        </w:trPr>
        <w:tc>
          <w:tcPr>
            <w:tcW w:w="666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WT/</w:t>
            </w:r>
            <w:r>
              <w:rPr>
                <w:b/>
                <w:szCs w:val="18"/>
              </w:rPr>
              <w:t>Let/1038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Rectification</w:t>
            </w:r>
          </w:p>
        </w:tc>
      </w:tr>
      <w:tr w:rsidR="00844A78" w:rsidRPr="00BE3FAA" w:rsidTr="007732C5">
        <w:trPr>
          <w:trHeight w:val="345"/>
        </w:trPr>
        <w:tc>
          <w:tcPr>
            <w:tcW w:w="1508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HS96 code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Product Description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 xml:space="preserve">Existing </w:t>
            </w:r>
            <w:r w:rsidRPr="00BE3FAA">
              <w:rPr>
                <w:b/>
                <w:szCs w:val="18"/>
                <w:lang w:eastAsia="zh-TW"/>
              </w:rPr>
              <w:t>Final</w:t>
            </w:r>
            <w:r w:rsidRPr="00BE3FAA">
              <w:rPr>
                <w:b/>
                <w:szCs w:val="18"/>
                <w:lang w:eastAsia="zh-TW"/>
              </w:rPr>
              <w:br/>
              <w:t>Bound Rate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HS96 code</w:t>
            </w:r>
          </w:p>
        </w:tc>
        <w:tc>
          <w:tcPr>
            <w:tcW w:w="3522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Product Description</w:t>
            </w:r>
          </w:p>
        </w:tc>
        <w:tc>
          <w:tcPr>
            <w:tcW w:w="1559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Final</w:t>
            </w:r>
          </w:p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>Bound Rate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D9158B">
              <w:rPr>
                <w:szCs w:val="18"/>
                <w:lang w:eastAsia="zh-TW"/>
              </w:rPr>
              <w:t>90319000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D9158B">
              <w:rPr>
                <w:szCs w:val="18"/>
              </w:rPr>
              <w:t>- Parts and accessories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>
              <w:rPr>
                <w:szCs w:val="18"/>
                <w:lang w:eastAsia="zh-TW"/>
              </w:rPr>
              <w:t>903190</w:t>
            </w:r>
          </w:p>
        </w:tc>
        <w:tc>
          <w:tcPr>
            <w:tcW w:w="3522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D9158B">
              <w:rPr>
                <w:szCs w:val="18"/>
              </w:rPr>
              <w:t>- Parts and accessories</w:t>
            </w:r>
          </w:p>
        </w:tc>
        <w:tc>
          <w:tcPr>
            <w:tcW w:w="1559" w:type="dxa"/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3760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Default="00844A78" w:rsidP="007732C5">
            <w:pPr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D9158B" w:rsidRDefault="00844A78" w:rsidP="007732C5">
            <w:pPr>
              <w:rPr>
                <w:b/>
              </w:rPr>
            </w:pPr>
            <w:r w:rsidRPr="00D9158B">
              <w:rPr>
                <w:b/>
                <w:lang w:eastAsia="zh-HK"/>
              </w:rPr>
              <w:t>90319010</w:t>
            </w:r>
          </w:p>
        </w:tc>
        <w:tc>
          <w:tcPr>
            <w:tcW w:w="3522" w:type="dxa"/>
          </w:tcPr>
          <w:p w:rsidR="00844A78" w:rsidRPr="00C91D47" w:rsidRDefault="00844A78" w:rsidP="007732C5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- - </w:t>
            </w:r>
            <w:r w:rsidRPr="00D9158B">
              <w:rPr>
                <w:b/>
                <w:szCs w:val="18"/>
              </w:rPr>
              <w:t xml:space="preserve">- - -  Parts and accessories of optical instruments and appliances for inspecting semiconductor wafers or devices or for inspecting masks, photomasks or </w:t>
            </w:r>
            <w:proofErr w:type="spellStart"/>
            <w:r w:rsidRPr="00D9158B">
              <w:rPr>
                <w:b/>
                <w:szCs w:val="18"/>
              </w:rPr>
              <w:t>reticles</w:t>
            </w:r>
            <w:proofErr w:type="spellEnd"/>
            <w:r w:rsidRPr="00D9158B">
              <w:rPr>
                <w:b/>
                <w:szCs w:val="18"/>
              </w:rPr>
              <w:t xml:space="preserve"> used in manufacturing semiconductor devices</w:t>
            </w:r>
          </w:p>
        </w:tc>
        <w:tc>
          <w:tcPr>
            <w:tcW w:w="1559" w:type="dxa"/>
          </w:tcPr>
          <w:p w:rsidR="00844A78" w:rsidRPr="00C91D47" w:rsidRDefault="00844A78" w:rsidP="007732C5">
            <w:pPr>
              <w:jc w:val="center"/>
              <w:rPr>
                <w:b/>
                <w:szCs w:val="18"/>
              </w:rPr>
            </w:pPr>
            <w:r w:rsidRPr="00C91D47">
              <w:rPr>
                <w:b/>
                <w:szCs w:val="18"/>
              </w:rPr>
              <w:t>0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3760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Default="00844A78" w:rsidP="007732C5">
            <w:pPr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D9158B" w:rsidRDefault="00844A78" w:rsidP="007732C5">
            <w:pPr>
              <w:rPr>
                <w:b/>
                <w:lang w:eastAsia="zh-HK"/>
              </w:rPr>
            </w:pPr>
            <w:r w:rsidRPr="00D9158B">
              <w:rPr>
                <w:b/>
                <w:lang w:eastAsia="zh-HK"/>
              </w:rPr>
              <w:t>90319020</w:t>
            </w:r>
          </w:p>
        </w:tc>
        <w:tc>
          <w:tcPr>
            <w:tcW w:w="3522" w:type="dxa"/>
          </w:tcPr>
          <w:p w:rsidR="00844A78" w:rsidRPr="00C91D47" w:rsidRDefault="00844A78" w:rsidP="007732C5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- - </w:t>
            </w:r>
            <w:r w:rsidRPr="00D9158B">
              <w:rPr>
                <w:b/>
                <w:szCs w:val="18"/>
              </w:rPr>
              <w:t>- - -  Parts and accessories of optical instruments and appliances for measuring surface particulate contamination on semiconductor wafers</w:t>
            </w:r>
          </w:p>
        </w:tc>
        <w:tc>
          <w:tcPr>
            <w:tcW w:w="1559" w:type="dxa"/>
          </w:tcPr>
          <w:p w:rsidR="00844A78" w:rsidRPr="00C91D47" w:rsidRDefault="00844A78" w:rsidP="007732C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3760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44A78" w:rsidRDefault="00844A78" w:rsidP="007732C5">
            <w:pPr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44A78" w:rsidRPr="00D9158B" w:rsidRDefault="00844A78" w:rsidP="007732C5">
            <w:pPr>
              <w:rPr>
                <w:b/>
              </w:rPr>
            </w:pPr>
            <w:r w:rsidRPr="00D9158B">
              <w:rPr>
                <w:b/>
                <w:lang w:eastAsia="zh-HK"/>
              </w:rPr>
              <w:t>90319090</w:t>
            </w:r>
          </w:p>
        </w:tc>
        <w:tc>
          <w:tcPr>
            <w:tcW w:w="3522" w:type="dxa"/>
          </w:tcPr>
          <w:p w:rsidR="00844A78" w:rsidRPr="00C91D47" w:rsidRDefault="00844A78" w:rsidP="007732C5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- - </w:t>
            </w:r>
            <w:r w:rsidRPr="00C91D47">
              <w:rPr>
                <w:b/>
                <w:szCs w:val="18"/>
              </w:rPr>
              <w:t>Other</w:t>
            </w:r>
          </w:p>
        </w:tc>
        <w:tc>
          <w:tcPr>
            <w:tcW w:w="1559" w:type="dxa"/>
          </w:tcPr>
          <w:p w:rsidR="00844A78" w:rsidRPr="00C91D47" w:rsidRDefault="00844A78" w:rsidP="007732C5">
            <w:pPr>
              <w:jc w:val="center"/>
              <w:rPr>
                <w:b/>
                <w:szCs w:val="18"/>
              </w:rPr>
            </w:pPr>
            <w:r w:rsidRPr="00C91D47">
              <w:rPr>
                <w:b/>
                <w:szCs w:val="18"/>
              </w:rPr>
              <w:t>Unbound</w:t>
            </w:r>
          </w:p>
        </w:tc>
      </w:tr>
    </w:tbl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  <w:r>
        <w:rPr>
          <w:b/>
          <w:szCs w:val="18"/>
          <w:lang w:eastAsia="zh-TW"/>
        </w:rPr>
        <w:t>*</w:t>
      </w:r>
      <w:r w:rsidRPr="009E4C22">
        <w:rPr>
          <w:b/>
          <w:szCs w:val="18"/>
          <w:lang w:eastAsia="zh-TW"/>
        </w:rPr>
        <w:t>Bold represents the revision</w:t>
      </w:r>
    </w:p>
    <w:p w:rsidR="00844A78" w:rsidRDefault="00844A78" w:rsidP="00844A78">
      <w:pPr>
        <w:spacing w:after="180"/>
        <w:jc w:val="center"/>
        <w:rPr>
          <w:b/>
          <w:szCs w:val="18"/>
          <w:lang w:eastAsia="zh-TW"/>
        </w:rPr>
      </w:pPr>
      <w:r>
        <w:rPr>
          <w:b/>
          <w:szCs w:val="18"/>
          <w:lang w:eastAsia="zh-TW"/>
        </w:rPr>
        <w:t>_______________</w:t>
      </w:r>
    </w:p>
    <w:p w:rsidR="00844A78" w:rsidRPr="00044119" w:rsidRDefault="00844A78" w:rsidP="00844A78">
      <w:pPr>
        <w:spacing w:after="180"/>
        <w:jc w:val="center"/>
        <w:rPr>
          <w:rFonts w:eastAsia="Times New Roman"/>
          <w:b/>
          <w:caps/>
          <w:color w:val="006283"/>
          <w:kern w:val="28"/>
          <w:szCs w:val="18"/>
          <w:lang w:val="en-US"/>
        </w:rPr>
      </w:pPr>
      <w:r>
        <w:rPr>
          <w:rFonts w:eastAsia="Times New Roman"/>
          <w:b/>
          <w:caps/>
          <w:color w:val="006283"/>
          <w:kern w:val="28"/>
          <w:szCs w:val="18"/>
          <w:lang w:val="en-US"/>
        </w:rPr>
        <w:br w:type="page"/>
      </w:r>
      <w:r w:rsidRPr="00044119">
        <w:rPr>
          <w:rFonts w:eastAsia="Times New Roman"/>
          <w:b/>
          <w:caps/>
          <w:color w:val="006283"/>
          <w:kern w:val="28"/>
          <w:szCs w:val="18"/>
          <w:lang w:val="en-US"/>
        </w:rPr>
        <w:lastRenderedPageBreak/>
        <w:t>ATTACHMENT 2 – DRAFT RECTIFICATION</w:t>
      </w:r>
    </w:p>
    <w:p w:rsidR="00844A78" w:rsidRPr="00044119" w:rsidRDefault="001A1F02" w:rsidP="00844A78">
      <w:pPr>
        <w:spacing w:after="180"/>
        <w:jc w:val="center"/>
        <w:rPr>
          <w:rFonts w:eastAsia="Times New Roman"/>
          <w:b/>
          <w:bCs/>
          <w:szCs w:val="18"/>
          <w:lang w:val="en-US"/>
        </w:rPr>
      </w:pPr>
      <w:r>
        <w:rPr>
          <w:rFonts w:eastAsia="Times New Roman"/>
          <w:b/>
          <w:bCs/>
          <w:szCs w:val="18"/>
          <w:lang w:val="en-US"/>
        </w:rPr>
        <w:t>SCHEDULE LXIII –</w:t>
      </w:r>
      <w:r w:rsidR="00844A78" w:rsidRPr="00044119">
        <w:rPr>
          <w:rFonts w:eastAsia="Times New Roman"/>
          <w:b/>
          <w:bCs/>
          <w:szCs w:val="18"/>
          <w:lang w:val="en-US"/>
        </w:rPr>
        <w:t xml:space="preserve"> EGYPT</w:t>
      </w:r>
    </w:p>
    <w:p w:rsidR="00844A78" w:rsidRPr="00044119" w:rsidRDefault="00844A78" w:rsidP="00844A78">
      <w:pPr>
        <w:jc w:val="center"/>
        <w:rPr>
          <w:rFonts w:eastAsia="Times New Roman"/>
          <w:b/>
          <w:bCs/>
          <w:szCs w:val="18"/>
          <w:lang w:val="en-US"/>
        </w:rPr>
      </w:pPr>
      <w:r w:rsidRPr="00044119">
        <w:rPr>
          <w:rFonts w:eastAsia="Times New Roman"/>
          <w:b/>
          <w:bCs/>
          <w:szCs w:val="18"/>
          <w:lang w:val="en-US"/>
        </w:rPr>
        <w:t xml:space="preserve">PART I </w:t>
      </w:r>
      <w:r w:rsidR="001A1F02">
        <w:rPr>
          <w:rFonts w:eastAsia="Times New Roman"/>
          <w:b/>
          <w:bCs/>
          <w:szCs w:val="18"/>
          <w:lang w:val="en-US"/>
        </w:rPr>
        <w:t>–</w:t>
      </w:r>
      <w:r w:rsidRPr="00044119">
        <w:rPr>
          <w:rFonts w:eastAsia="Times New Roman"/>
          <w:b/>
          <w:bCs/>
          <w:szCs w:val="18"/>
          <w:lang w:val="en-US"/>
        </w:rPr>
        <w:t xml:space="preserve"> MOST-</w:t>
      </w:r>
      <w:proofErr w:type="spellStart"/>
      <w:r w:rsidRPr="00044119">
        <w:rPr>
          <w:rFonts w:eastAsia="Times New Roman"/>
          <w:b/>
          <w:bCs/>
          <w:szCs w:val="18"/>
          <w:lang w:val="en-US"/>
        </w:rPr>
        <w:t>FAVOURED</w:t>
      </w:r>
      <w:proofErr w:type="spellEnd"/>
      <w:r w:rsidRPr="00044119">
        <w:rPr>
          <w:rFonts w:eastAsia="Times New Roman"/>
          <w:b/>
          <w:bCs/>
          <w:szCs w:val="18"/>
          <w:lang w:val="en-US"/>
        </w:rPr>
        <w:t xml:space="preserve"> NATION TARIFF</w:t>
      </w:r>
    </w:p>
    <w:p w:rsidR="00844A78" w:rsidRPr="00044119" w:rsidRDefault="00844A78" w:rsidP="00844A78">
      <w:pPr>
        <w:jc w:val="center"/>
        <w:rPr>
          <w:rFonts w:eastAsia="Times New Roman"/>
          <w:b/>
          <w:bCs/>
          <w:szCs w:val="18"/>
          <w:lang w:val="en-US"/>
        </w:rPr>
      </w:pPr>
      <w:r w:rsidRPr="00044119">
        <w:rPr>
          <w:rFonts w:eastAsia="Times New Roman"/>
          <w:b/>
          <w:bCs/>
          <w:szCs w:val="18"/>
          <w:lang w:val="en-US"/>
        </w:rPr>
        <w:t xml:space="preserve">SECTION II </w:t>
      </w:r>
      <w:r w:rsidR="001A1F02">
        <w:rPr>
          <w:rFonts w:eastAsia="Times New Roman"/>
          <w:b/>
          <w:bCs/>
          <w:szCs w:val="18"/>
          <w:lang w:val="en-US"/>
        </w:rPr>
        <w:t>–</w:t>
      </w:r>
      <w:r w:rsidRPr="00044119">
        <w:rPr>
          <w:rFonts w:eastAsia="Times New Roman"/>
          <w:b/>
          <w:bCs/>
          <w:szCs w:val="18"/>
          <w:lang w:val="en-US"/>
        </w:rPr>
        <w:t xml:space="preserve"> Other Products</w:t>
      </w:r>
    </w:p>
    <w:p w:rsidR="00844A78" w:rsidRPr="00044119" w:rsidRDefault="00844A78" w:rsidP="00844A78">
      <w:pPr>
        <w:rPr>
          <w:szCs w:val="18"/>
          <w:lang w:val="en-US"/>
        </w:rPr>
      </w:pPr>
    </w:p>
    <w:tbl>
      <w:tblPr>
        <w:tblW w:w="13788" w:type="dxa"/>
        <w:tblInd w:w="93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9"/>
        <w:gridCol w:w="5186"/>
        <w:gridCol w:w="1050"/>
        <w:gridCol w:w="1256"/>
        <w:gridCol w:w="1848"/>
        <w:gridCol w:w="1399"/>
        <w:gridCol w:w="1440"/>
      </w:tblGrid>
      <w:tr w:rsidR="00844A78" w:rsidRPr="00044119" w:rsidTr="007732C5">
        <w:trPr>
          <w:cantSplit/>
          <w:trHeight w:val="264"/>
          <w:tblHeader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eastAsia="Times New Roman"/>
                <w:b/>
                <w:color w:val="000000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color w:val="000000"/>
                <w:szCs w:val="18"/>
                <w:lang w:eastAsia="en-GB"/>
              </w:rPr>
              <w:t>Tariff item</w:t>
            </w:r>
            <w:r w:rsidRPr="00044119">
              <w:rPr>
                <w:rFonts w:eastAsia="Times New Roman"/>
                <w:b/>
                <w:color w:val="000000"/>
                <w:szCs w:val="18"/>
                <w:lang w:eastAsia="en-GB"/>
              </w:rPr>
              <w:br/>
              <w:t>(HS20</w:t>
            </w:r>
            <w:r>
              <w:rPr>
                <w:rFonts w:eastAsia="Times New Roman"/>
                <w:b/>
                <w:color w:val="000000"/>
                <w:szCs w:val="18"/>
                <w:lang w:eastAsia="en-GB"/>
              </w:rPr>
              <w:t>07</w:t>
            </w:r>
            <w:r w:rsidRPr="00044119">
              <w:rPr>
                <w:rFonts w:eastAsia="Times New Roman"/>
                <w:b/>
                <w:color w:val="000000"/>
                <w:szCs w:val="18"/>
                <w:lang w:eastAsia="en-GB"/>
              </w:rPr>
              <w:t>)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eastAsia="Times New Roman"/>
                <w:color w:val="000000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>Description of Products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>Base rate</w:t>
            </w: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br/>
              <w:t xml:space="preserve"> of duty</w:t>
            </w:r>
          </w:p>
        </w:tc>
        <w:tc>
          <w:tcPr>
            <w:tcW w:w="1256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eastAsia="Times New Roman"/>
                <w:b/>
                <w:color w:val="000000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 xml:space="preserve">Bound rate </w:t>
            </w: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br/>
              <w:t>of duty</w:t>
            </w: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>Implementation period from/to (*)</w:t>
            </w: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>Initial Negotiating Right</w:t>
            </w: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eastAsia="Times New Roman"/>
                <w:color w:val="000000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>Other duties and charges</w:t>
            </w: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>
              <w:rPr>
                <w:szCs w:val="18"/>
              </w:rPr>
              <w:t>8421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 w:rsidRPr="00AD1289">
              <w:rPr>
                <w:szCs w:val="18"/>
              </w:rPr>
              <w:t>Centrifuges, including centrifugal dryers; filtering or purifying machinery and apparatus, for liquids or gases.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>
              <w:rPr>
                <w:szCs w:val="18"/>
              </w:rPr>
              <w:t>84219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 w:rsidRPr="00AD1289">
              <w:rPr>
                <w:szCs w:val="18"/>
              </w:rPr>
              <w:t>- Parts: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 w:rsidRPr="00044119">
              <w:rPr>
                <w:szCs w:val="18"/>
              </w:rPr>
              <w:t>84219100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 w:rsidRPr="00044119">
              <w:rPr>
                <w:szCs w:val="18"/>
              </w:rPr>
              <w:t>- Parts and accessories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szCs w:val="18"/>
                <w:lang w:eastAsia="en-GB"/>
              </w:rPr>
              <w:t>Unbound</w:t>
            </w: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8529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 w:rsidRPr="00AD1289">
              <w:rPr>
                <w:szCs w:val="18"/>
              </w:rPr>
              <w:t>Parts suitable for use solely or principally with the apparatus of headings 85.25 to 85.28.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 w:rsidRPr="00044119">
              <w:rPr>
                <w:szCs w:val="18"/>
              </w:rPr>
              <w:t>852990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 w:rsidRPr="00044119">
              <w:rPr>
                <w:szCs w:val="18"/>
              </w:rPr>
              <w:t>- Other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rFonts w:ascii="Times New Roman" w:eastAsia="Times New Roman" w:hAnsi="Times New Roman"/>
                <w:szCs w:val="18"/>
                <w:lang w:eastAsia="en-GB"/>
              </w:rPr>
            </w:pPr>
            <w:r w:rsidRPr="00044119">
              <w:rPr>
                <w:szCs w:val="18"/>
              </w:rPr>
              <w:t>85299090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rFonts w:ascii="Times New Roman" w:eastAsia="Times New Roman" w:hAnsi="Times New Roman"/>
                <w:szCs w:val="18"/>
                <w:lang w:eastAsia="en-GB"/>
              </w:rPr>
            </w:pPr>
            <w:r w:rsidRPr="00044119">
              <w:rPr>
                <w:szCs w:val="18"/>
              </w:rPr>
              <w:t>- - Other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rFonts w:ascii="Times New Roman" w:eastAsia="Times New Roman" w:hAnsi="Times New Roman"/>
                <w:b/>
                <w:szCs w:val="18"/>
                <w:lang w:eastAsia="en-GB"/>
              </w:rPr>
            </w:pPr>
            <w:r w:rsidRPr="000A3168">
              <w:rPr>
                <w:b/>
                <w:szCs w:val="18"/>
              </w:rPr>
              <w:t>85299090 ex</w:t>
            </w:r>
          </w:p>
        </w:tc>
        <w:tc>
          <w:tcPr>
            <w:tcW w:w="5186" w:type="dxa"/>
            <w:shd w:val="clear" w:color="auto" w:fill="auto"/>
          </w:tcPr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>--- Parts of: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>     transmission apparatus other than apparatus for radio-broadcasting or television;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transmission apparatus incorporating reception apparatus;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digital still image video cameras;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portable receivers for calling , alerting or paging.</w:t>
            </w:r>
          </w:p>
          <w:p w:rsidR="00844A78" w:rsidRPr="000A3168" w:rsidRDefault="00844A78" w:rsidP="007732C5">
            <w:pPr>
              <w:jc w:val="left"/>
              <w:rPr>
                <w:b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975B33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rFonts w:ascii="Times New Roman" w:eastAsia="Times New Roman" w:hAnsi="Times New Roman"/>
                <w:b/>
                <w:szCs w:val="18"/>
                <w:lang w:eastAsia="en-GB"/>
              </w:rPr>
            </w:pPr>
            <w:r w:rsidRPr="000A3168">
              <w:rPr>
                <w:b/>
                <w:szCs w:val="18"/>
              </w:rPr>
              <w:t>85299090 ex</w:t>
            </w:r>
          </w:p>
        </w:tc>
        <w:tc>
          <w:tcPr>
            <w:tcW w:w="5186" w:type="dxa"/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b/>
                <w:szCs w:val="18"/>
              </w:rPr>
            </w:pPr>
            <w:r w:rsidRPr="000A3168">
              <w:rPr>
                <w:b/>
                <w:szCs w:val="18"/>
              </w:rPr>
              <w:t>- - - Other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color w:val="000000"/>
                <w:szCs w:val="18"/>
                <w:lang w:eastAsia="en-GB"/>
              </w:rPr>
              <w:t>Unbound</w:t>
            </w: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  <w:lang w:eastAsia="zh-HK"/>
              </w:rPr>
            </w:pPr>
            <w:r>
              <w:rPr>
                <w:szCs w:val="18"/>
                <w:lang w:eastAsia="zh-HK"/>
              </w:rPr>
              <w:t>9031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 w:rsidRPr="00AD1289">
              <w:rPr>
                <w:szCs w:val="18"/>
              </w:rPr>
              <w:t>Measuring or checking instruments, appliances and machines, not specified or included elsewhere in this Chapter; profile projectors.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rFonts w:ascii="Times New Roman" w:eastAsia="Times New Roman" w:hAnsi="Times New Roman"/>
                <w:szCs w:val="18"/>
                <w:lang w:eastAsia="en-GB"/>
              </w:rPr>
            </w:pPr>
            <w:r w:rsidRPr="00044119">
              <w:rPr>
                <w:szCs w:val="18"/>
                <w:lang w:eastAsia="zh-HK"/>
              </w:rPr>
              <w:t>903190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 w:rsidRPr="00044119">
              <w:rPr>
                <w:szCs w:val="18"/>
              </w:rPr>
              <w:t>- Parts and accessories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913"/>
        </w:trPr>
        <w:tc>
          <w:tcPr>
            <w:tcW w:w="1609" w:type="dxa"/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rFonts w:ascii="Times New Roman" w:eastAsia="Times New Roman" w:hAnsi="Times New Roman"/>
                <w:b/>
                <w:szCs w:val="18"/>
                <w:lang w:eastAsia="en-GB"/>
              </w:rPr>
            </w:pPr>
            <w:r w:rsidRPr="000A3168">
              <w:rPr>
                <w:b/>
                <w:szCs w:val="18"/>
                <w:lang w:eastAsia="zh-HK"/>
              </w:rPr>
              <w:t>90319010</w:t>
            </w:r>
          </w:p>
        </w:tc>
        <w:tc>
          <w:tcPr>
            <w:tcW w:w="5186" w:type="dxa"/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b/>
                <w:szCs w:val="18"/>
              </w:rPr>
            </w:pPr>
            <w:r w:rsidRPr="000A3168">
              <w:rPr>
                <w:b/>
                <w:szCs w:val="18"/>
              </w:rPr>
              <w:t xml:space="preserve">- - Parts and accessories of optical instruments and appliances for inspecting semiconductor wafers or devices or for inspecting masks, photomasks or </w:t>
            </w:r>
            <w:proofErr w:type="spellStart"/>
            <w:r w:rsidRPr="000A3168">
              <w:rPr>
                <w:b/>
                <w:szCs w:val="18"/>
              </w:rPr>
              <w:t>reticles</w:t>
            </w:r>
            <w:proofErr w:type="spellEnd"/>
            <w:r w:rsidRPr="000A3168">
              <w:rPr>
                <w:b/>
                <w:szCs w:val="18"/>
              </w:rPr>
              <w:t xml:space="preserve"> used in manufacturing semiconductor devices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975B33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tcBorders>
              <w:bottom w:val="single" w:sz="6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rFonts w:ascii="Times New Roman" w:eastAsia="Times New Roman" w:hAnsi="Times New Roman"/>
                <w:b/>
                <w:szCs w:val="18"/>
                <w:lang w:eastAsia="en-GB"/>
              </w:rPr>
            </w:pPr>
            <w:r w:rsidRPr="000A3168">
              <w:rPr>
                <w:b/>
                <w:szCs w:val="18"/>
                <w:lang w:eastAsia="zh-HK"/>
              </w:rPr>
              <w:lastRenderedPageBreak/>
              <w:t>90319020</w:t>
            </w:r>
          </w:p>
        </w:tc>
        <w:tc>
          <w:tcPr>
            <w:tcW w:w="5186" w:type="dxa"/>
            <w:tcBorders>
              <w:bottom w:val="single" w:sz="6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b/>
                <w:szCs w:val="18"/>
              </w:rPr>
            </w:pPr>
            <w:r w:rsidRPr="000A3168">
              <w:rPr>
                <w:b/>
                <w:szCs w:val="18"/>
              </w:rPr>
              <w:t>- - Parts and accessories of optical instruments and appliances for measuring surface particulate contamination on semiconductor wafers</w:t>
            </w:r>
          </w:p>
        </w:tc>
        <w:tc>
          <w:tcPr>
            <w:tcW w:w="1050" w:type="dxa"/>
            <w:tcBorders>
              <w:bottom w:val="single" w:sz="6" w:space="0" w:color="auto"/>
            </w:tcBorders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bottom w:val="single" w:sz="6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1848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975B33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rFonts w:ascii="Times New Roman" w:eastAsia="Times New Roman" w:hAnsi="Times New Roman"/>
                <w:b/>
                <w:szCs w:val="18"/>
                <w:lang w:eastAsia="en-GB"/>
              </w:rPr>
            </w:pPr>
            <w:r w:rsidRPr="000A3168">
              <w:rPr>
                <w:b/>
                <w:szCs w:val="18"/>
                <w:lang w:eastAsia="zh-HK"/>
              </w:rPr>
              <w:t>90319090</w:t>
            </w:r>
          </w:p>
        </w:tc>
        <w:tc>
          <w:tcPr>
            <w:tcW w:w="518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b/>
                <w:szCs w:val="18"/>
              </w:rPr>
            </w:pPr>
            <w:r w:rsidRPr="000A3168">
              <w:rPr>
                <w:b/>
                <w:szCs w:val="18"/>
              </w:rPr>
              <w:t>- - Other</w:t>
            </w:r>
          </w:p>
        </w:tc>
        <w:tc>
          <w:tcPr>
            <w:tcW w:w="10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szCs w:val="18"/>
                <w:lang w:eastAsia="en-GB"/>
              </w:rPr>
              <w:t>Unbound</w:t>
            </w:r>
          </w:p>
        </w:tc>
        <w:tc>
          <w:tcPr>
            <w:tcW w:w="184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</w:tbl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  <w:r>
        <w:rPr>
          <w:b/>
          <w:szCs w:val="18"/>
          <w:lang w:eastAsia="zh-TW"/>
        </w:rPr>
        <w:t>*</w:t>
      </w:r>
      <w:r w:rsidRPr="009E4C22">
        <w:rPr>
          <w:b/>
          <w:szCs w:val="18"/>
          <w:lang w:eastAsia="zh-TW"/>
        </w:rPr>
        <w:t>Bold represents the revision</w:t>
      </w:r>
    </w:p>
    <w:p w:rsidR="00844A78" w:rsidRDefault="00844A78" w:rsidP="00844A78">
      <w:pPr>
        <w:jc w:val="left"/>
        <w:rPr>
          <w:b/>
          <w:szCs w:val="18"/>
          <w:lang w:eastAsia="zh-TW"/>
        </w:rPr>
      </w:pPr>
    </w:p>
    <w:p w:rsidR="00844A78" w:rsidRPr="00844A78" w:rsidRDefault="00844A78" w:rsidP="00844A78">
      <w:pPr>
        <w:jc w:val="center"/>
        <w:rPr>
          <w:szCs w:val="18"/>
          <w:lang w:eastAsia="zh-TW"/>
        </w:rPr>
      </w:pPr>
      <w:r>
        <w:rPr>
          <w:b/>
          <w:szCs w:val="18"/>
          <w:lang w:eastAsia="zh-TW"/>
        </w:rPr>
        <w:t>__________</w:t>
      </w:r>
    </w:p>
    <w:sectPr w:rsidR="00844A78" w:rsidRPr="00844A78" w:rsidSect="0057060D">
      <w:headerReference w:type="even" r:id="rId13"/>
      <w:headerReference w:type="default" r:id="rId14"/>
      <w:pgSz w:w="16838" w:h="11906" w:orient="landscape" w:code="9"/>
      <w:pgMar w:top="1304" w:right="1701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78" w:rsidRDefault="00844A78" w:rsidP="00ED54E0">
      <w:r>
        <w:separator/>
      </w:r>
    </w:p>
  </w:endnote>
  <w:endnote w:type="continuationSeparator" w:id="0">
    <w:p w:rsidR="00844A78" w:rsidRDefault="00844A7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44A78" w:rsidRDefault="00844A78" w:rsidP="00844A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44A78" w:rsidRDefault="00844A78" w:rsidP="00844A7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78" w:rsidRDefault="00844A78" w:rsidP="00ED54E0">
      <w:r>
        <w:separator/>
      </w:r>
    </w:p>
  </w:footnote>
  <w:footnote w:type="continuationSeparator" w:id="0">
    <w:p w:rsidR="00844A78" w:rsidRDefault="00844A78" w:rsidP="00ED54E0">
      <w:r>
        <w:continuationSeparator/>
      </w:r>
    </w:p>
  </w:footnote>
  <w:footnote w:id="1">
    <w:p w:rsidR="00592D2F" w:rsidRPr="00E31BBA" w:rsidRDefault="00592D2F" w:rsidP="00592D2F">
      <w:pPr>
        <w:pStyle w:val="FootnoteText"/>
        <w:rPr>
          <w:lang w:val="fr-FR"/>
        </w:rPr>
      </w:pPr>
      <w:r w:rsidRPr="00E31BBA">
        <w:rPr>
          <w:rStyle w:val="FootnoteReference"/>
          <w:lang w:val="fr-FR"/>
        </w:rPr>
        <w:footnoteRef/>
      </w:r>
      <w:r w:rsidRPr="00E31BBA">
        <w:rPr>
          <w:lang w:val="fr-FR"/>
        </w:rPr>
        <w:t xml:space="preserve"> En anglais seulement</w:t>
      </w:r>
      <w:r w:rsidRPr="00E31BBA">
        <w:rPr>
          <w:rFonts w:hint="eastAsia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A78">
      <w:t>G/MA/TAR/RS/538</w:t>
    </w:r>
  </w:p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A78">
      <w:t xml:space="preserve">- </w:t>
    </w:r>
    <w:r w:rsidRPr="00844A78">
      <w:fldChar w:fldCharType="begin"/>
    </w:r>
    <w:r w:rsidRPr="00844A78">
      <w:instrText xml:space="preserve"> PAGE </w:instrText>
    </w:r>
    <w:r w:rsidRPr="00844A78">
      <w:fldChar w:fldCharType="separate"/>
    </w:r>
    <w:r w:rsidRPr="00844A78">
      <w:rPr>
        <w:noProof/>
      </w:rPr>
      <w:t>2</w:t>
    </w:r>
    <w:r w:rsidRPr="00844A78">
      <w:fldChar w:fldCharType="end"/>
    </w:r>
    <w:r w:rsidRPr="00844A78">
      <w:t xml:space="preserve"> -</w:t>
    </w:r>
  </w:p>
  <w:p w:rsidR="00544326" w:rsidRPr="00844A78" w:rsidRDefault="00544326" w:rsidP="00844A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A78">
      <w:t>G/MA/TAR/RS/538</w:t>
    </w:r>
  </w:p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A78">
      <w:t xml:space="preserve">- </w:t>
    </w:r>
    <w:r w:rsidRPr="00844A78">
      <w:fldChar w:fldCharType="begin"/>
    </w:r>
    <w:r w:rsidRPr="00844A78">
      <w:instrText xml:space="preserve"> PAGE </w:instrText>
    </w:r>
    <w:r w:rsidRPr="00844A78">
      <w:fldChar w:fldCharType="separate"/>
    </w:r>
    <w:r>
      <w:rPr>
        <w:noProof/>
      </w:rPr>
      <w:t>2</w:t>
    </w:r>
    <w:r w:rsidRPr="00844A78">
      <w:fldChar w:fldCharType="end"/>
    </w:r>
    <w:r w:rsidRPr="00844A78">
      <w:t xml:space="preserve"> -</w:t>
    </w:r>
  </w:p>
  <w:p w:rsidR="00544326" w:rsidRPr="00844A78" w:rsidRDefault="00544326" w:rsidP="00844A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92D2F" w:rsidRPr="00592D2F" w:rsidTr="00592D2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92D2F" w:rsidRPr="00592D2F" w:rsidRDefault="00592D2F" w:rsidP="00703F81">
          <w:pPr>
            <w:rPr>
              <w:rFonts w:eastAsia="Verdana" w:cs="Verdana"/>
              <w:noProof/>
              <w:szCs w:val="18"/>
              <w:lang w:val="fr-FR"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92D2F" w:rsidRPr="00592D2F" w:rsidRDefault="00592D2F" w:rsidP="00703F81">
          <w:pPr>
            <w:jc w:val="right"/>
            <w:rPr>
              <w:rFonts w:eastAsia="Verdana" w:cs="Verdana"/>
              <w:b/>
              <w:color w:val="FF0000"/>
              <w:szCs w:val="18"/>
              <w:lang w:val="fr-FR"/>
            </w:rPr>
          </w:pPr>
          <w:proofErr w:type="spellStart"/>
          <w:r>
            <w:rPr>
              <w:rFonts w:eastAsia="Verdana" w:cs="Verdana"/>
              <w:b/>
              <w:color w:val="FF0000"/>
              <w:szCs w:val="18"/>
              <w:lang w:val="fr-FR"/>
            </w:rPr>
            <w:t>RESTRICTED</w:t>
          </w:r>
          <w:proofErr w:type="spellEnd"/>
        </w:p>
      </w:tc>
    </w:tr>
    <w:tr w:rsidR="00592D2F" w:rsidRPr="00592D2F" w:rsidTr="00592D2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92D2F" w:rsidRPr="00592D2F" w:rsidRDefault="00592D2F" w:rsidP="00703F81">
          <w:pPr>
            <w:jc w:val="left"/>
            <w:rPr>
              <w:rFonts w:eastAsia="Verdana" w:cs="Verdana"/>
              <w:szCs w:val="18"/>
              <w:lang w:val="fr-FR"/>
            </w:rPr>
          </w:pPr>
          <w:bookmarkStart w:id="3" w:name="bmkLogo" w:colFirst="0" w:colLast="0"/>
          <w:bookmarkEnd w:id="1"/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AC61027" wp14:editId="2B6672F3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92D2F" w:rsidRPr="00592D2F" w:rsidRDefault="00592D2F" w:rsidP="00703F81">
          <w:pPr>
            <w:jc w:val="right"/>
            <w:rPr>
              <w:rFonts w:eastAsia="Verdana" w:cs="Verdana"/>
              <w:b/>
              <w:szCs w:val="18"/>
              <w:lang w:val="fr-FR"/>
            </w:rPr>
          </w:pPr>
        </w:p>
      </w:tc>
    </w:tr>
    <w:tr w:rsidR="00592D2F" w:rsidRPr="00592D2F" w:rsidTr="00592D2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92D2F" w:rsidRPr="00592D2F" w:rsidRDefault="00592D2F" w:rsidP="00703F81">
          <w:pPr>
            <w:jc w:val="left"/>
            <w:rPr>
              <w:rFonts w:eastAsia="Verdana" w:cs="Verdana"/>
              <w:noProof/>
              <w:szCs w:val="18"/>
              <w:lang w:val="fr-FR"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92D2F" w:rsidRPr="00592D2F" w:rsidRDefault="00592D2F" w:rsidP="00703F81">
          <w:pPr>
            <w:jc w:val="right"/>
            <w:rPr>
              <w:rFonts w:eastAsia="Verdana" w:cs="Verdana"/>
              <w:b/>
              <w:szCs w:val="18"/>
              <w:lang w:val="fr-FR"/>
            </w:rPr>
          </w:pPr>
          <w:r>
            <w:rPr>
              <w:b/>
              <w:szCs w:val="18"/>
              <w:lang w:val="fr-FR"/>
            </w:rPr>
            <w:t>G/MA/TAR/RS/538</w:t>
          </w:r>
        </w:p>
      </w:tc>
    </w:tr>
    <w:tr w:rsidR="00592D2F" w:rsidRPr="00592D2F" w:rsidTr="00592D2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92D2F" w:rsidRPr="00592D2F" w:rsidRDefault="00592D2F" w:rsidP="00703F81">
          <w:pPr>
            <w:rPr>
              <w:rFonts w:eastAsia="Verdana" w:cs="Verdana"/>
              <w:szCs w:val="18"/>
              <w:lang w:val="fr-FR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92D2F" w:rsidRPr="00592D2F" w:rsidRDefault="00A070B8" w:rsidP="00703F81">
          <w:pPr>
            <w:jc w:val="right"/>
            <w:rPr>
              <w:rFonts w:eastAsia="Verdana" w:cs="Verdana"/>
              <w:szCs w:val="18"/>
              <w:lang w:val="fr-FR"/>
            </w:rPr>
          </w:pPr>
          <w:r>
            <w:rPr>
              <w:rFonts w:eastAsia="Verdana" w:cs="Verdana"/>
              <w:szCs w:val="18"/>
              <w:lang w:val="fr-FR"/>
            </w:rPr>
            <w:t>25</w:t>
          </w:r>
          <w:r w:rsidR="00592D2F">
            <w:rPr>
              <w:rFonts w:eastAsia="Verdana" w:cs="Verdana"/>
              <w:szCs w:val="18"/>
              <w:lang w:val="fr-FR"/>
            </w:rPr>
            <w:t> avril 2018</w:t>
          </w:r>
        </w:p>
      </w:tc>
    </w:tr>
    <w:tr w:rsidR="00592D2F" w:rsidRPr="00592D2F" w:rsidTr="00592D2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92D2F" w:rsidRPr="00592D2F" w:rsidRDefault="00A070B8" w:rsidP="00703F81">
          <w:pPr>
            <w:jc w:val="left"/>
            <w:rPr>
              <w:rFonts w:eastAsia="Verdana" w:cs="Verdana"/>
              <w:b/>
              <w:szCs w:val="18"/>
              <w:lang w:val="fr-FR"/>
            </w:rPr>
          </w:pPr>
          <w:bookmarkStart w:id="6" w:name="bmkSerial" w:colFirst="0" w:colLast="0"/>
          <w:bookmarkStart w:id="7" w:name="bmkTotPages" w:colFirst="1" w:colLast="1"/>
          <w:bookmarkEnd w:id="5"/>
          <w:r>
            <w:rPr>
              <w:rFonts w:eastAsia="Verdana" w:cs="Verdana"/>
              <w:color w:val="FF0000"/>
              <w:szCs w:val="18"/>
              <w:lang w:val="fr-FR"/>
            </w:rPr>
            <w:t>(18-2611</w:t>
          </w:r>
          <w:r w:rsidR="00592D2F">
            <w:rPr>
              <w:rFonts w:eastAsia="Verdana" w:cs="Verdana"/>
              <w:color w:val="FF0000"/>
              <w:szCs w:val="18"/>
              <w:lang w:val="fr-FR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92D2F" w:rsidRPr="00592D2F" w:rsidRDefault="00592D2F" w:rsidP="00592D2F">
          <w:pPr>
            <w:jc w:val="right"/>
            <w:rPr>
              <w:rFonts w:eastAsia="Verdana" w:cs="Verdana"/>
              <w:szCs w:val="18"/>
              <w:lang w:val="fr-FR"/>
            </w:rPr>
          </w:pPr>
          <w:r>
            <w:rPr>
              <w:rFonts w:eastAsia="Verdana" w:cs="Verdana"/>
              <w:szCs w:val="18"/>
              <w:lang w:val="fr-FR"/>
            </w:rPr>
            <w:t xml:space="preserve">Page: </w:t>
          </w:r>
          <w:r>
            <w:rPr>
              <w:rFonts w:eastAsia="Verdana" w:cs="Verdana"/>
              <w:szCs w:val="18"/>
              <w:lang w:val="fr-FR"/>
            </w:rPr>
            <w:fldChar w:fldCharType="begin"/>
          </w:r>
          <w:r>
            <w:rPr>
              <w:rFonts w:eastAsia="Verdana" w:cs="Verdana"/>
              <w:szCs w:val="18"/>
              <w:lang w:val="fr-FR"/>
            </w:rPr>
            <w:instrText xml:space="preserve"> PAGE  \* Arabic  \* MERGEFORMAT </w:instrText>
          </w:r>
          <w:r>
            <w:rPr>
              <w:rFonts w:eastAsia="Verdana" w:cs="Verdana"/>
              <w:szCs w:val="18"/>
              <w:lang w:val="fr-FR"/>
            </w:rPr>
            <w:fldChar w:fldCharType="separate"/>
          </w:r>
          <w:r w:rsidR="004F1041">
            <w:rPr>
              <w:rFonts w:eastAsia="Verdana" w:cs="Verdana"/>
              <w:noProof/>
              <w:szCs w:val="18"/>
              <w:lang w:val="fr-FR"/>
            </w:rPr>
            <w:t>1</w:t>
          </w:r>
          <w:r>
            <w:rPr>
              <w:rFonts w:eastAsia="Verdana" w:cs="Verdana"/>
              <w:szCs w:val="18"/>
              <w:lang w:val="fr-FR"/>
            </w:rPr>
            <w:fldChar w:fldCharType="end"/>
          </w:r>
          <w:r>
            <w:rPr>
              <w:rFonts w:eastAsia="Verdana" w:cs="Verdana"/>
              <w:szCs w:val="18"/>
              <w:lang w:val="fr-FR"/>
            </w:rPr>
            <w:t>/</w:t>
          </w:r>
          <w:r>
            <w:rPr>
              <w:rFonts w:eastAsia="Verdana" w:cs="Verdana"/>
              <w:szCs w:val="18"/>
              <w:lang w:val="fr-FR"/>
            </w:rPr>
            <w:fldChar w:fldCharType="begin"/>
          </w:r>
          <w:r>
            <w:rPr>
              <w:rFonts w:eastAsia="Verdana" w:cs="Verdana"/>
              <w:szCs w:val="18"/>
              <w:lang w:val="fr-FR"/>
            </w:rPr>
            <w:instrText xml:space="preserve"> NUMPAGES  \# "0" \* Arabic  \* MERGEFORMAT </w:instrText>
          </w:r>
          <w:r>
            <w:rPr>
              <w:rFonts w:eastAsia="Verdana" w:cs="Verdana"/>
              <w:szCs w:val="18"/>
              <w:lang w:val="fr-FR"/>
            </w:rPr>
            <w:fldChar w:fldCharType="separate"/>
          </w:r>
          <w:r w:rsidR="004F1041">
            <w:rPr>
              <w:rFonts w:eastAsia="Verdana" w:cs="Verdana"/>
              <w:noProof/>
              <w:szCs w:val="18"/>
              <w:lang w:val="fr-FR"/>
            </w:rPr>
            <w:t>6</w:t>
          </w:r>
          <w:r>
            <w:rPr>
              <w:rFonts w:eastAsia="Verdana" w:cs="Verdana"/>
              <w:szCs w:val="18"/>
              <w:lang w:val="fr-FR"/>
            </w:rPr>
            <w:fldChar w:fldCharType="end"/>
          </w:r>
        </w:p>
      </w:tc>
    </w:tr>
    <w:tr w:rsidR="00592D2F" w:rsidRPr="00592D2F" w:rsidTr="00592D2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92D2F" w:rsidRPr="00592D2F" w:rsidRDefault="00592D2F" w:rsidP="00703F81">
          <w:pPr>
            <w:jc w:val="left"/>
            <w:rPr>
              <w:rFonts w:eastAsia="Verdana" w:cs="Verdana"/>
              <w:szCs w:val="18"/>
              <w:lang w:val="fr-FR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>
            <w:rPr>
              <w:b/>
              <w:szCs w:val="18"/>
              <w:lang w:val="fr-FR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92D2F" w:rsidRPr="00592D2F" w:rsidRDefault="00592D2F" w:rsidP="00703F81">
          <w:pPr>
            <w:jc w:val="right"/>
            <w:rPr>
              <w:rFonts w:eastAsia="Verdana" w:cs="Verdana"/>
              <w:bCs/>
              <w:szCs w:val="18"/>
              <w:lang w:val="fr-FR"/>
            </w:rPr>
          </w:pPr>
          <w:r>
            <w:rPr>
              <w:rFonts w:eastAsia="Verdana" w:cs="Verdana"/>
              <w:bCs/>
              <w:szCs w:val="18"/>
              <w:lang w:val="fr-FR"/>
            </w:rPr>
            <w:t>Original: anglais</w:t>
          </w:r>
        </w:p>
      </w:tc>
    </w:tr>
    <w:bookmarkEnd w:id="2"/>
    <w:bookmarkEnd w:id="8"/>
    <w:bookmarkEnd w:id="9"/>
  </w:tbl>
  <w:p w:rsidR="00ED54E0" w:rsidRPr="00592D2F" w:rsidRDefault="00ED54E0">
    <w:pPr>
      <w:pStyle w:val="Head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F1" w:rsidRDefault="00844A78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G/MA/TAR/RS/538</w:t>
    </w:r>
  </w:p>
  <w:p w:rsidR="005566F1" w:rsidRDefault="004F1041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5566F1" w:rsidRDefault="00844A78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:rsidR="00092FFC" w:rsidRPr="005566F1" w:rsidRDefault="004F1041" w:rsidP="005566F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F1" w:rsidRDefault="00844A78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G/MA/TAR/RS/538</w:t>
    </w:r>
  </w:p>
  <w:p w:rsidR="005566F1" w:rsidRDefault="004F1041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5566F1" w:rsidRDefault="00844A78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F1041">
      <w:rPr>
        <w:noProof/>
      </w:rPr>
      <w:t>6</w:t>
    </w:r>
    <w:r>
      <w:fldChar w:fldCharType="end"/>
    </w:r>
    <w:r>
      <w:t xml:space="preserve"> -</w:t>
    </w:r>
  </w:p>
  <w:p w:rsidR="00092FFC" w:rsidRPr="005566F1" w:rsidRDefault="004F1041" w:rsidP="00556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8"/>
    <w:rsid w:val="000272F6"/>
    <w:rsid w:val="00037AC4"/>
    <w:rsid w:val="000423BF"/>
    <w:rsid w:val="000875FB"/>
    <w:rsid w:val="000A4945"/>
    <w:rsid w:val="000B31E1"/>
    <w:rsid w:val="0011356B"/>
    <w:rsid w:val="0013337F"/>
    <w:rsid w:val="00182B84"/>
    <w:rsid w:val="001A1F02"/>
    <w:rsid w:val="001E291F"/>
    <w:rsid w:val="00233408"/>
    <w:rsid w:val="0027067B"/>
    <w:rsid w:val="003156C6"/>
    <w:rsid w:val="003572B4"/>
    <w:rsid w:val="004247D5"/>
    <w:rsid w:val="00455A26"/>
    <w:rsid w:val="00467032"/>
    <w:rsid w:val="0046754A"/>
    <w:rsid w:val="004F1041"/>
    <w:rsid w:val="004F203A"/>
    <w:rsid w:val="005336B8"/>
    <w:rsid w:val="00544326"/>
    <w:rsid w:val="00547B5F"/>
    <w:rsid w:val="0057060D"/>
    <w:rsid w:val="00592D2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3C42"/>
    <w:rsid w:val="00745146"/>
    <w:rsid w:val="007544FD"/>
    <w:rsid w:val="007577E3"/>
    <w:rsid w:val="00760DB3"/>
    <w:rsid w:val="007E6507"/>
    <w:rsid w:val="007F2B8E"/>
    <w:rsid w:val="007F32D1"/>
    <w:rsid w:val="00807247"/>
    <w:rsid w:val="00840C2B"/>
    <w:rsid w:val="00844A78"/>
    <w:rsid w:val="008739FD"/>
    <w:rsid w:val="00893E85"/>
    <w:rsid w:val="008E372C"/>
    <w:rsid w:val="008F34FD"/>
    <w:rsid w:val="009A6F54"/>
    <w:rsid w:val="00A070B8"/>
    <w:rsid w:val="00A6057A"/>
    <w:rsid w:val="00A74017"/>
    <w:rsid w:val="00A93936"/>
    <w:rsid w:val="00AA332C"/>
    <w:rsid w:val="00AC0AE6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A6EE5"/>
    <w:rsid w:val="00DE508B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32397"/>
    <w:rsid w:val="00F40595"/>
    <w:rsid w:val="00F62E6B"/>
    <w:rsid w:val="00FA0C3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44A7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basedOn w:val="DefaultParagraphFont"/>
    <w:rsid w:val="00592D2F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44A7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basedOn w:val="DefaultParagraphFont"/>
    <w:rsid w:val="00592D2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6</Pages>
  <Words>1090</Words>
  <Characters>6372</Characters>
  <Application>Microsoft Office Word</Application>
  <DocSecurity>0</DocSecurity>
  <Lines>340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  ATTACHMENT 1 – EXPLANATORY NOTE</dc:title>
  <dc:creator/>
  <dc:description>LDIMD - DTU</dc:description>
  <cp:lastModifiedBy/>
  <cp:revision>2</cp:revision>
  <cp:lastPrinted>2018-04-25T10:18:00Z</cp:lastPrinted>
  <dcterms:created xsi:type="dcterms:W3CDTF">2018-04-25T10:38:00Z</dcterms:created>
  <dcterms:modified xsi:type="dcterms:W3CDTF">2018-04-25T12:55:00Z</dcterms:modified>
</cp:coreProperties>
</file>